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FF" w:rsidRDefault="001A75EE">
      <w:pPr>
        <w:spacing w:line="560" w:lineRule="exact"/>
        <w:rPr>
          <w:rFonts w:ascii="TimesNewRoman" w:eastAsia="黑体" w:hAnsi="TimesNewRoman" w:cs="TimesNewRoman"/>
          <w:szCs w:val="32"/>
        </w:rPr>
      </w:pPr>
      <w:r>
        <w:rPr>
          <w:rFonts w:ascii="TimesNewRoman" w:eastAsia="黑体" w:hAnsi="TimesNewRoman" w:cs="TimesNewRoman" w:hint="eastAsia"/>
          <w:szCs w:val="32"/>
        </w:rPr>
        <w:t>附件</w:t>
      </w:r>
      <w:r>
        <w:rPr>
          <w:rFonts w:ascii="TimesNewRoman" w:eastAsia="黑体" w:hAnsi="TimesNewRoman" w:cs="TimesNewRoman" w:hint="eastAsia"/>
          <w:szCs w:val="32"/>
        </w:rPr>
        <w:t>1-1</w:t>
      </w:r>
    </w:p>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1A75EE">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淮北市传染病</w:t>
      </w:r>
      <w:proofErr w:type="gramStart"/>
      <w:r>
        <w:rPr>
          <w:rFonts w:ascii="TimesNewRoman" w:eastAsia="华文中宋" w:hAnsi="TimesNewRoman" w:cs="TimesNewRoman" w:hint="eastAsia"/>
          <w:b/>
          <w:sz w:val="44"/>
          <w:szCs w:val="44"/>
        </w:rPr>
        <w:t>医院医院</w:t>
      </w:r>
      <w:proofErr w:type="gramEnd"/>
      <w:r>
        <w:rPr>
          <w:rFonts w:ascii="TimesNewRoman" w:eastAsia="华文中宋" w:hAnsi="TimesNewRoman" w:cs="TimesNewRoman" w:hint="eastAsia"/>
          <w:b/>
          <w:sz w:val="44"/>
          <w:szCs w:val="44"/>
        </w:rPr>
        <w:t>2023</w:t>
      </w:r>
      <w:r>
        <w:rPr>
          <w:rFonts w:ascii="TimesNewRoman" w:eastAsia="华文中宋" w:hAnsi="TimesNewRoman" w:cs="TimesNewRoman" w:hint="eastAsia"/>
          <w:b/>
          <w:sz w:val="44"/>
          <w:szCs w:val="44"/>
        </w:rPr>
        <w:t>年</w:t>
      </w:r>
    </w:p>
    <w:p w:rsidR="00C207FF" w:rsidRDefault="001A75EE">
      <w:pPr>
        <w:spacing w:line="560" w:lineRule="exact"/>
        <w:jc w:val="center"/>
        <w:rPr>
          <w:rFonts w:ascii="TimesNewRoman" w:eastAsia="华文中宋" w:hAnsi="TimesNewRoman" w:cs="TimesNewRoman"/>
          <w:b/>
          <w:sz w:val="44"/>
          <w:szCs w:val="44"/>
        </w:rPr>
      </w:pPr>
      <w:r>
        <w:rPr>
          <w:rFonts w:ascii="TimesNewRoman" w:eastAsia="华文中宋" w:hAnsi="TimesNewRoman" w:cs="TimesNewRoman" w:hint="eastAsia"/>
          <w:b/>
          <w:sz w:val="44"/>
          <w:szCs w:val="44"/>
        </w:rPr>
        <w:t>部门预算</w:t>
      </w:r>
    </w:p>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 w:rsidR="00C207FF" w:rsidRDefault="00C207FF">
      <w:pPr>
        <w:pStyle w:val="a3"/>
        <w:adjustRightInd w:val="0"/>
        <w:snapToGrid w:val="0"/>
        <w:spacing w:line="560" w:lineRule="exact"/>
        <w:jc w:val="center"/>
        <w:rPr>
          <w:rFonts w:ascii="TimesNewRoman" w:eastAsia="黑体" w:hAnsi="TimesNewRoman" w:cs="TimesNewRoman"/>
          <w:bCs/>
          <w:sz w:val="44"/>
          <w:szCs w:val="44"/>
        </w:rPr>
      </w:pPr>
    </w:p>
    <w:p w:rsidR="00C207FF" w:rsidRDefault="001A75EE">
      <w:pPr>
        <w:pStyle w:val="a3"/>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t>2023</w:t>
      </w:r>
      <w:r>
        <w:rPr>
          <w:rFonts w:ascii="TimesNewRoman" w:eastAsia="黑体" w:hAnsi="TimesNewRoman" w:cs="TimesNewRoman" w:hint="eastAsia"/>
          <w:bCs/>
          <w:sz w:val="44"/>
          <w:szCs w:val="44"/>
        </w:rPr>
        <w:t>年</w:t>
      </w:r>
      <w:r w:rsidR="00F6424E">
        <w:rPr>
          <w:rFonts w:ascii="TimesNewRoman" w:eastAsia="黑体" w:hAnsi="TimesNewRoman" w:cs="TimesNewRoman" w:hint="eastAsia"/>
          <w:bCs/>
          <w:sz w:val="44"/>
          <w:szCs w:val="44"/>
        </w:rPr>
        <w:t>2</w:t>
      </w:r>
      <w:r>
        <w:rPr>
          <w:rFonts w:ascii="TimesNewRoman" w:eastAsia="黑体" w:hAnsi="TimesNewRoman" w:cs="TimesNewRoman" w:hint="eastAsia"/>
          <w:bCs/>
          <w:sz w:val="44"/>
          <w:szCs w:val="44"/>
        </w:rPr>
        <w:t>月</w:t>
      </w:r>
    </w:p>
    <w:p w:rsidR="00C207FF" w:rsidRDefault="00C207FF"/>
    <w:p w:rsidR="00C207FF" w:rsidRDefault="00C207FF"/>
    <w:p w:rsidR="00C207FF" w:rsidRDefault="001A75EE">
      <w:pPr>
        <w:pStyle w:val="a3"/>
        <w:adjustRightInd w:val="0"/>
        <w:snapToGrid w:val="0"/>
        <w:spacing w:line="560" w:lineRule="exact"/>
        <w:jc w:val="center"/>
        <w:rPr>
          <w:rFonts w:ascii="TimesNewRoman" w:eastAsia="黑体" w:hAnsi="TimesNewRoman" w:cs="TimesNewRoman"/>
          <w:bCs/>
          <w:sz w:val="44"/>
          <w:szCs w:val="44"/>
        </w:rPr>
      </w:pPr>
      <w:r>
        <w:rPr>
          <w:rFonts w:ascii="TimesNewRoman" w:eastAsia="黑体" w:hAnsi="TimesNewRoman" w:cs="TimesNewRoman" w:hint="eastAsia"/>
          <w:bCs/>
          <w:sz w:val="44"/>
          <w:szCs w:val="44"/>
        </w:rPr>
        <w:lastRenderedPageBreak/>
        <w:t>目</w:t>
      </w:r>
      <w:r>
        <w:rPr>
          <w:rFonts w:ascii="TimesNewRoman" w:eastAsia="黑体" w:hAnsi="TimesNewRoman" w:cs="TimesNewRoman" w:hint="eastAsia"/>
          <w:bCs/>
          <w:sz w:val="44"/>
          <w:szCs w:val="44"/>
        </w:rPr>
        <w:t xml:space="preserve">  </w:t>
      </w:r>
      <w:r>
        <w:rPr>
          <w:rFonts w:ascii="TimesNewRoman" w:eastAsia="黑体" w:hAnsi="TimesNewRoman" w:cs="TimesNewRoman" w:hint="eastAsia"/>
          <w:bCs/>
          <w:sz w:val="44"/>
          <w:szCs w:val="44"/>
        </w:rPr>
        <w:t>录</w:t>
      </w:r>
    </w:p>
    <w:p w:rsidR="00C207FF" w:rsidRDefault="00C207FF"/>
    <w:p w:rsidR="00C207FF" w:rsidRDefault="001A75EE">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第一部分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部门（单位）概况</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、主要职责</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、部门（单位）预算构成</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 xml:space="preserve">3 </w:t>
      </w:r>
      <w:r>
        <w:rPr>
          <w:rFonts w:ascii="TimesNewRoman" w:eastAsia="仿宋_GB2312" w:hAnsi="TimesNewRoman" w:cs="TimesNewRoman" w:hint="eastAsia"/>
          <w:bCs/>
          <w:sz w:val="32"/>
          <w:szCs w:val="32"/>
        </w:rPr>
        <w:t>、</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年度主要工作任务</w:t>
      </w:r>
    </w:p>
    <w:p w:rsidR="00C207FF" w:rsidRDefault="001A75EE">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第二部分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年部门（单位）预算表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w:t>
      </w:r>
    </w:p>
    <w:p w:rsidR="00C207FF" w:rsidRDefault="001A75EE">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第三部分</w:t>
      </w:r>
      <w:r>
        <w:rPr>
          <w:rFonts w:ascii="TimesNewRoman" w:eastAsia="仿宋_GB2312" w:hAnsi="TimesNewRoman" w:cs="TimesNewRoman" w:hint="eastAsia"/>
          <w:b/>
          <w:sz w:val="32"/>
          <w:szCs w:val="32"/>
        </w:rPr>
        <w:t xml:space="preserve"> 2023</w:t>
      </w:r>
      <w:r>
        <w:rPr>
          <w:rFonts w:ascii="TimesNewRoman" w:eastAsia="仿宋_GB2312" w:hAnsi="TimesNewRoman" w:cs="TimesNewRoman" w:hint="eastAsia"/>
          <w:b/>
          <w:sz w:val="32"/>
          <w:szCs w:val="32"/>
        </w:rPr>
        <w:t>年部门（单位）预算情况说明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年收支总表的说明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lastRenderedPageBreak/>
        <w:t>2</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年收入总表的说明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3</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年支出总表的说明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4</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年财政拨款收支总表的说明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5</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年一般公共预算支出表的说明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6</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年一般公共预算基本支出表的说明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7</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年政府性基金预算支出表的说明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8</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年国有资本经营预算支出表的说明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9</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年项目支出表的说明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10</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年政府采购支出表的说明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11</w:t>
      </w:r>
      <w:r>
        <w:rPr>
          <w:rFonts w:ascii="TimesNewRoman" w:eastAsia="仿宋_GB2312" w:hAnsi="TimesNewRoman" w:cs="TimesNewRoman" w:hint="eastAsia"/>
          <w:bCs/>
          <w:sz w:val="32"/>
          <w:szCs w:val="32"/>
        </w:rPr>
        <w:t>、关于</w:t>
      </w:r>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年政府购买服务支出表的说明</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12</w:t>
      </w:r>
      <w:r>
        <w:rPr>
          <w:rFonts w:ascii="TimesNewRoman" w:eastAsia="仿宋_GB2312" w:hAnsi="TimesNewRoman" w:cs="TimesNewRoman" w:hint="eastAsia"/>
          <w:bCs/>
          <w:sz w:val="32"/>
          <w:szCs w:val="32"/>
        </w:rPr>
        <w:t>、其他重要事项情况说明</w:t>
      </w:r>
    </w:p>
    <w:p w:rsidR="00C207FF" w:rsidRDefault="001A75EE">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第四部分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名词解释</w:t>
      </w:r>
    </w:p>
    <w:p w:rsidR="00C207FF" w:rsidRDefault="001A75EE">
      <w:pPr>
        <w:pStyle w:val="a3"/>
        <w:adjustRightInd w:val="0"/>
        <w:snapToGrid w:val="0"/>
        <w:spacing w:line="40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第五部分</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b/>
          <w:sz w:val="32"/>
          <w:szCs w:val="32"/>
        </w:rPr>
        <w:t>其它公开事项</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1</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年部门预算纳入绩效考评项目表</w:t>
      </w:r>
    </w:p>
    <w:p w:rsidR="00C207FF" w:rsidRDefault="001A75EE">
      <w:pPr>
        <w:pStyle w:val="a3"/>
        <w:adjustRightInd w:val="0"/>
        <w:snapToGrid w:val="0"/>
        <w:spacing w:line="400" w:lineRule="exact"/>
        <w:ind w:firstLineChars="250" w:firstLine="800"/>
        <w:rPr>
          <w:rFonts w:ascii="TimesNewRoman" w:eastAsia="仿宋_GB2312" w:hAnsi="TimesNewRoman" w:cs="TimesNewRoman"/>
          <w:bCs/>
          <w:sz w:val="32"/>
          <w:szCs w:val="32"/>
        </w:rPr>
      </w:pPr>
      <w:r>
        <w:rPr>
          <w:rFonts w:ascii="TimesNewRoman" w:eastAsia="仿宋_GB2312" w:hAnsi="TimesNewRoman" w:cs="TimesNewRoman" w:hint="eastAsia"/>
          <w:bCs/>
          <w:sz w:val="32"/>
          <w:szCs w:val="32"/>
        </w:rPr>
        <w:t>2</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bCs/>
          <w:sz w:val="32"/>
          <w:szCs w:val="32"/>
        </w:rPr>
        <w:t>2023</w:t>
      </w:r>
      <w:r>
        <w:rPr>
          <w:rFonts w:ascii="TimesNewRoman" w:eastAsia="仿宋_GB2312" w:hAnsi="TimesNewRoman" w:cs="TimesNewRoman" w:hint="eastAsia"/>
          <w:bCs/>
          <w:sz w:val="32"/>
          <w:szCs w:val="32"/>
        </w:rPr>
        <w:t>年部门预算专项资金管理清单（专栏公开）</w:t>
      </w:r>
    </w:p>
    <w:p w:rsidR="00C207FF" w:rsidRDefault="00C207FF">
      <w:pPr>
        <w:pStyle w:val="a3"/>
        <w:adjustRightInd w:val="0"/>
        <w:snapToGrid w:val="0"/>
        <w:spacing w:line="400" w:lineRule="exact"/>
        <w:ind w:firstLineChars="250" w:firstLine="800"/>
        <w:rPr>
          <w:rFonts w:ascii="TimesNewRoman" w:eastAsia="仿宋_GB2312" w:hAnsi="TimesNewRoman" w:cs="TimesNewRoman"/>
          <w:bCs/>
          <w:sz w:val="32"/>
          <w:szCs w:val="32"/>
        </w:rPr>
      </w:pPr>
    </w:p>
    <w:p w:rsidR="00C207FF" w:rsidRDefault="001A75EE">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第一部分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部门（单位）概况</w:t>
      </w:r>
    </w:p>
    <w:p w:rsidR="00C207FF" w:rsidRDefault="00C207FF"/>
    <w:p w:rsidR="00C207FF" w:rsidRDefault="001A75EE">
      <w:pPr>
        <w:ind w:firstLineChars="200" w:firstLine="640"/>
        <w:rPr>
          <w:rFonts w:ascii="仿宋_GB2312" w:eastAsia="仿宋_GB2312" w:hAnsi="仿宋"/>
          <w:sz w:val="32"/>
          <w:szCs w:val="32"/>
        </w:rPr>
      </w:pPr>
      <w:r>
        <w:rPr>
          <w:rFonts w:ascii="TimesNewRoman" w:eastAsia="黑体" w:hAnsi="TimesNewRoman" w:cs="TimesNewRoman" w:hint="eastAsia"/>
          <w:bCs/>
          <w:sz w:val="32"/>
          <w:szCs w:val="32"/>
        </w:rPr>
        <w:t>一、</w:t>
      </w:r>
      <w:r>
        <w:rPr>
          <w:rFonts w:ascii="仿宋_GB2312" w:eastAsia="仿宋_GB2312" w:hAnsi="仿宋_GB2312" w:cs="仿宋_GB2312" w:hint="eastAsia"/>
          <w:sz w:val="32"/>
          <w:szCs w:val="32"/>
        </w:rPr>
        <w:t>市委、市政府为完善突发公共卫生事件应急救治体系，贯彻落实《传染病防治法》，根据国务院《突发公共卫生事件应急</w:t>
      </w:r>
      <w:r>
        <w:rPr>
          <w:rFonts w:ascii="仿宋_GB2312" w:eastAsia="仿宋_GB2312" w:hAnsi="仿宋_GB2312" w:cs="仿宋_GB2312" w:hint="eastAsia"/>
          <w:sz w:val="32"/>
          <w:szCs w:val="32"/>
        </w:rPr>
        <w:lastRenderedPageBreak/>
        <w:t>条例》和省政府《突发公共卫生事件应急办法》相关规定，经</w:t>
      </w:r>
      <w:r w:rsidR="009C7B28" w:rsidRPr="009C7B28">
        <w:rPr>
          <w:rFonts w:ascii="仿宋_GB2312" w:eastAsia="仿宋_GB2312" w:hAnsi="仿宋_GB2312" w:cs="仿宋_GB2312" w:hint="eastAsia"/>
          <w:sz w:val="32"/>
          <w:szCs w:val="32"/>
        </w:rPr>
        <w:t>市委常委会会议</w:t>
      </w:r>
      <w:r>
        <w:rPr>
          <w:rFonts w:ascii="仿宋_GB2312" w:eastAsia="仿宋_GB2312" w:hAnsi="仿宋_GB2312" w:cs="仿宋_GB2312" w:hint="eastAsia"/>
          <w:sz w:val="32"/>
          <w:szCs w:val="32"/>
        </w:rPr>
        <w:t>研究，同意设置淮北市传染病医院，同时加挂淮北市第三人民医院、淮北市康复医院两块牌子，为全额拨款副县级事业单位，是一所集医疗、公共卫生应急、传染病救治、康复为一体的综合性市级医院。</w:t>
      </w:r>
    </w:p>
    <w:p w:rsidR="00C207FF" w:rsidRDefault="00C207FF">
      <w:pPr>
        <w:pStyle w:val="a3"/>
        <w:adjustRightInd w:val="0"/>
        <w:snapToGrid w:val="0"/>
        <w:spacing w:line="560" w:lineRule="exact"/>
        <w:ind w:firstLineChars="196" w:firstLine="627"/>
        <w:rPr>
          <w:rFonts w:ascii="TimesNewRoman" w:eastAsia="仿宋_GB2312" w:hAnsi="TimesNewRoman" w:cs="TimesNewRoman"/>
          <w:bCs/>
          <w:sz w:val="32"/>
          <w:szCs w:val="32"/>
        </w:rPr>
      </w:pP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二、部门（单位）预算构成</w:t>
      </w:r>
    </w:p>
    <w:p w:rsidR="00C207FF" w:rsidRDefault="001A75EE">
      <w:pPr>
        <w:pStyle w:val="a3"/>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从预算单位构成看，</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年度部门预算仅包括</w:t>
      </w:r>
      <w:r>
        <w:rPr>
          <w:rFonts w:ascii="TimesNewRoman" w:eastAsia="仿宋_GB2312" w:hAnsi="TimesNewRoman" w:cs="TimesNewRoman" w:hint="eastAsia"/>
          <w:bCs/>
          <w:sz w:val="32"/>
          <w:szCs w:val="32"/>
        </w:rPr>
        <w:t>淮北市传染病</w:t>
      </w:r>
      <w:proofErr w:type="gramStart"/>
      <w:r>
        <w:rPr>
          <w:rFonts w:ascii="TimesNewRoman" w:eastAsia="仿宋_GB2312" w:hAnsi="TimesNewRoman" w:cs="TimesNewRoman" w:hint="eastAsia"/>
          <w:bCs/>
          <w:sz w:val="32"/>
          <w:szCs w:val="32"/>
        </w:rPr>
        <w:t>医院医院</w:t>
      </w:r>
      <w:proofErr w:type="gramEnd"/>
      <w:r>
        <w:rPr>
          <w:rFonts w:ascii="TimesNewRoman" w:eastAsia="仿宋_GB2312" w:hAnsi="TimesNewRoman" w:cs="TimesNewRoman" w:hint="eastAsia"/>
          <w:sz w:val="32"/>
          <w:szCs w:val="32"/>
        </w:rPr>
        <w:t>本级预算，无其他下属单位预算。</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年度主要工作任务</w:t>
      </w:r>
    </w:p>
    <w:p w:rsidR="00C207FF" w:rsidRDefault="001A75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2023年以习近平新时代中国特色社会主义思想为统领，深入学习贯彻党的二十大精神，全面贯彻国家、省、市卫生政策方针，全力推进医院高质量发展。</w:t>
      </w:r>
    </w:p>
    <w:p w:rsidR="00C207FF" w:rsidRDefault="001A75E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（一）继续加强党风廉政建设，进一步提高党建工作</w:t>
      </w:r>
    </w:p>
    <w:p w:rsidR="00C207FF" w:rsidRDefault="001A75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1.进一步深入开展党的二十大精神学习贯彻工作，让党的二十大精神在市传染病医院开花结果。进一步贯彻落实公立医院党建重点任务，改进党的组织建设，在完善内设机构的基础上，推进党支部设置优化工作。</w:t>
      </w:r>
    </w:p>
    <w:p w:rsidR="00C207FF" w:rsidRDefault="001A75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2.贯彻落实《医疗机构及其工作人员廉洁从业行动计划》专项行动，规范医疗程序，净化医疗环境，筑牢廉洁自律防线，营造风清气正、廉洁从业的工作氛围。</w:t>
      </w:r>
    </w:p>
    <w:p w:rsidR="00C207FF" w:rsidRDefault="001A75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3.进一步深入开展内部审计工作。</w:t>
      </w:r>
    </w:p>
    <w:p w:rsidR="00C207FF" w:rsidRDefault="001A75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4.发挥工会工作优势，密切配合发挥整体合力做好医院各方面工作。</w:t>
      </w:r>
    </w:p>
    <w:p w:rsidR="00C207FF" w:rsidRDefault="001A75EE">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（二）加强内涵建设，提高医疗水平，确保医疗安全</w:t>
      </w:r>
    </w:p>
    <w:p w:rsidR="00C207FF" w:rsidRDefault="001A75EE">
      <w:pPr>
        <w:pStyle w:val="21"/>
        <w:spacing w:line="560" w:lineRule="exact"/>
        <w:ind w:leftChars="0" w:left="0"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1.加快市传染病医院新院区搬迁进度并投入使用，</w:t>
      </w:r>
      <w:r>
        <w:rPr>
          <w:rFonts w:ascii="仿宋_GB2312" w:eastAsia="仿宋_GB2312" w:hAnsi="仿宋_GB2312" w:cs="仿宋_GB2312" w:hint="eastAsia"/>
          <w:sz w:val="32"/>
          <w:szCs w:val="32"/>
        </w:rPr>
        <w:t>切实发挥公共卫生应急职能</w:t>
      </w:r>
      <w:r>
        <w:rPr>
          <w:rFonts w:ascii="仿宋_GB2312" w:eastAsia="仿宋_GB2312" w:hAnsi="仿宋_GB2312" w:cs="仿宋_GB2312" w:hint="eastAsia"/>
          <w:color w:val="000000" w:themeColor="text1"/>
          <w:sz w:val="32"/>
          <w:szCs w:val="32"/>
        </w:rPr>
        <w:t>。</w:t>
      </w:r>
    </w:p>
    <w:p w:rsidR="00C207FF" w:rsidRDefault="001A75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2.实施“人才兴院”战略，着力培养传染病专科学科带头人，培养高层次人才，培育新“名医”。</w:t>
      </w:r>
    </w:p>
    <w:p w:rsidR="00C207FF" w:rsidRDefault="001A75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3.狠抓科研教学，促进科技兴院。加强传染病重点专科建设，提升临床科研能力。</w:t>
      </w:r>
    </w:p>
    <w:p w:rsidR="00C207FF" w:rsidRDefault="001A75E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4.加强重点部门、重点环节的医院感染管理，强化环节监控，针对医院感染危险因素采取有效的干预措施，降低医院感染发生的危险。</w:t>
      </w:r>
    </w:p>
    <w:p w:rsidR="00C207FF" w:rsidRDefault="001A75EE">
      <w:pPr>
        <w:pStyle w:val="ql-align-justify"/>
        <w:shd w:val="clear" w:color="auto" w:fill="FFFFFF"/>
        <w:spacing w:before="0" w:beforeAutospacing="0" w:after="0" w:afterAutospacing="0" w:line="480" w:lineRule="auto"/>
        <w:ind w:firstLineChars="200" w:firstLine="640"/>
        <w:jc w:val="both"/>
        <w:rPr>
          <w:rFonts w:ascii="仿宋_GB2312" w:eastAsia="仿宋_GB2312" w:hAnsi="Helvetica" w:cs="Helvetica"/>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Helvetica" w:cs="Helvetica" w:hint="eastAsia"/>
          <w:color w:val="000000"/>
          <w:sz w:val="32"/>
          <w:szCs w:val="32"/>
        </w:rPr>
        <w:t xml:space="preserve"> 持续提升安全生产工作，只有始终把“安全责任高于天”的理念入脑入心并</w:t>
      </w:r>
      <w:proofErr w:type="gramStart"/>
      <w:r>
        <w:rPr>
          <w:rFonts w:ascii="仿宋_GB2312" w:eastAsia="仿宋_GB2312" w:hAnsi="Helvetica" w:cs="Helvetica" w:hint="eastAsia"/>
          <w:color w:val="000000"/>
          <w:sz w:val="32"/>
          <w:szCs w:val="32"/>
        </w:rPr>
        <w:t>践行</w:t>
      </w:r>
      <w:proofErr w:type="gramEnd"/>
      <w:r>
        <w:rPr>
          <w:rFonts w:ascii="仿宋_GB2312" w:eastAsia="仿宋_GB2312" w:hAnsi="Helvetica" w:cs="Helvetica" w:hint="eastAsia"/>
          <w:color w:val="000000"/>
          <w:sz w:val="32"/>
          <w:szCs w:val="32"/>
        </w:rPr>
        <w:t>于实际工作中，才能筑牢医院安全生产防线。</w:t>
      </w:r>
    </w:p>
    <w:p w:rsidR="00C207FF" w:rsidRDefault="00C207FF"/>
    <w:p w:rsidR="00C207FF" w:rsidRDefault="001A75EE">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第二部分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年部门（单位）预算表</w:t>
      </w:r>
    </w:p>
    <w:p w:rsidR="00C207FF" w:rsidRDefault="001A75EE">
      <w:pPr>
        <w:pStyle w:val="a3"/>
        <w:adjustRightInd w:val="0"/>
        <w:snapToGrid w:val="0"/>
        <w:spacing w:line="560" w:lineRule="exact"/>
        <w:ind w:firstLineChars="196" w:firstLine="627"/>
        <w:jc w:val="center"/>
        <w:rPr>
          <w:rFonts w:ascii="TimesNewRoman" w:eastAsia="仿宋_GB2312" w:hAnsi="TimesNewRoman" w:cs="TimesNewRoman"/>
          <w:bCs/>
          <w:sz w:val="32"/>
          <w:szCs w:val="32"/>
        </w:rPr>
      </w:pPr>
      <w:r>
        <w:rPr>
          <w:rFonts w:ascii="TimesNewRoman" w:eastAsia="仿宋_GB2312" w:hAnsi="TimesNewRoman" w:cs="TimesNewRoman" w:hint="eastAsia"/>
          <w:bCs/>
          <w:sz w:val="32"/>
          <w:szCs w:val="32"/>
        </w:rPr>
        <w:t>见附件</w:t>
      </w:r>
      <w:r>
        <w:rPr>
          <w:rFonts w:ascii="TimesNewRoman" w:eastAsia="仿宋_GB2312" w:hAnsi="TimesNewRoman" w:cs="TimesNewRoman" w:hint="eastAsia"/>
          <w:bCs/>
          <w:sz w:val="32"/>
          <w:szCs w:val="32"/>
        </w:rPr>
        <w:t>1-2</w:t>
      </w:r>
    </w:p>
    <w:p w:rsidR="00C207FF" w:rsidRDefault="00C207FF"/>
    <w:p w:rsidR="00C207FF" w:rsidRDefault="001A75EE">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第三部分</w:t>
      </w:r>
      <w:r>
        <w:rPr>
          <w:rFonts w:ascii="TimesNewRoman" w:eastAsia="黑体" w:hAnsi="TimesNewRoman" w:cs="TimesNewRoman" w:hint="eastAsia"/>
          <w:bCs/>
          <w:sz w:val="36"/>
          <w:szCs w:val="36"/>
        </w:rPr>
        <w:t xml:space="preserve"> 2023</w:t>
      </w:r>
      <w:r>
        <w:rPr>
          <w:rFonts w:ascii="TimesNewRoman" w:eastAsia="黑体" w:hAnsi="TimesNewRoman" w:cs="TimesNewRoman" w:hint="eastAsia"/>
          <w:bCs/>
          <w:sz w:val="36"/>
          <w:szCs w:val="36"/>
        </w:rPr>
        <w:t>年部门（单位）预算情况说明</w:t>
      </w:r>
    </w:p>
    <w:p w:rsidR="00C207FF" w:rsidRDefault="00C207FF"/>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年收支总表的说明</w:t>
      </w:r>
    </w:p>
    <w:p w:rsidR="00C207FF" w:rsidRDefault="001A75EE">
      <w:pPr>
        <w:pStyle w:val="a3"/>
        <w:adjustRightInd w:val="0"/>
        <w:snapToGrid w:val="0"/>
        <w:spacing w:line="560" w:lineRule="exact"/>
        <w:ind w:firstLineChars="196" w:firstLine="627"/>
        <w:rPr>
          <w:rFonts w:ascii="TimesNewRoman" w:eastAsia="仿宋_GB2312" w:hAnsi="TimesNewRoman" w:cs="TimesNewRoman"/>
          <w:sz w:val="32"/>
          <w:szCs w:val="32"/>
        </w:rPr>
      </w:pPr>
      <w:r>
        <w:rPr>
          <w:rFonts w:ascii="TimesNewRoman" w:eastAsia="仿宋_GB2312" w:hAnsi="TimesNewRoman" w:cs="TimesNewRoman" w:hint="eastAsia"/>
          <w:sz w:val="32"/>
          <w:szCs w:val="32"/>
        </w:rPr>
        <w:t>按照综合预算的原则，淮北市传染病</w:t>
      </w:r>
      <w:proofErr w:type="gramStart"/>
      <w:r>
        <w:rPr>
          <w:rFonts w:ascii="TimesNewRoman" w:eastAsia="仿宋_GB2312" w:hAnsi="TimesNewRoman" w:cs="TimesNewRoman" w:hint="eastAsia"/>
          <w:sz w:val="32"/>
          <w:szCs w:val="32"/>
        </w:rPr>
        <w:t>医院医院</w:t>
      </w:r>
      <w:proofErr w:type="gramEnd"/>
      <w:r>
        <w:rPr>
          <w:rFonts w:ascii="TimesNewRoman" w:eastAsia="仿宋_GB2312" w:hAnsi="TimesNewRoman" w:cs="TimesNewRoman" w:hint="eastAsia"/>
          <w:sz w:val="32"/>
          <w:szCs w:val="32"/>
        </w:rPr>
        <w:t>所有收入和支出均纳入部门（单位）预算管理。淮北市传染病</w:t>
      </w:r>
      <w:proofErr w:type="gramStart"/>
      <w:r>
        <w:rPr>
          <w:rFonts w:ascii="TimesNewRoman" w:eastAsia="仿宋_GB2312" w:hAnsi="TimesNewRoman" w:cs="TimesNewRoman" w:hint="eastAsia"/>
          <w:sz w:val="32"/>
          <w:szCs w:val="32"/>
        </w:rPr>
        <w:t>医院医院</w:t>
      </w:r>
      <w:proofErr w:type="gramEnd"/>
      <w:r>
        <w:rPr>
          <w:rFonts w:ascii="TimesNewRoman" w:eastAsia="仿宋_GB2312" w:hAnsi="TimesNewRoman" w:cs="TimesNewRoman" w:hint="eastAsia"/>
          <w:sz w:val="32"/>
          <w:szCs w:val="32"/>
        </w:rPr>
        <w:t>2023</w:t>
      </w:r>
      <w:r>
        <w:rPr>
          <w:rFonts w:ascii="TimesNewRoman" w:eastAsia="仿宋_GB2312" w:hAnsi="TimesNewRoman" w:cs="TimesNewRoman" w:hint="eastAsia"/>
          <w:sz w:val="32"/>
          <w:szCs w:val="32"/>
        </w:rPr>
        <w:t>年收支总预算</w:t>
      </w:r>
      <w:r>
        <w:rPr>
          <w:rFonts w:ascii="TimesNewRoman" w:eastAsia="仿宋_GB2312" w:hAnsi="TimesNewRoman" w:cs="TimesNewRoman" w:hint="eastAsia"/>
          <w:sz w:val="32"/>
          <w:szCs w:val="32"/>
        </w:rPr>
        <w:t>1459.11</w:t>
      </w:r>
      <w:r>
        <w:rPr>
          <w:rFonts w:ascii="TimesNewRoman" w:eastAsia="仿宋_GB2312" w:hAnsi="TimesNewRoman" w:cs="TimesNewRoman" w:hint="eastAsia"/>
          <w:sz w:val="32"/>
          <w:szCs w:val="32"/>
        </w:rPr>
        <w:t>万元，收入包括一般公共预算拨款收入</w:t>
      </w:r>
      <w:r>
        <w:rPr>
          <w:rFonts w:ascii="TimesNewRoman" w:eastAsia="仿宋_GB2312" w:hAnsi="TimesNewRoman" w:cs="TimesNewRoman" w:hint="eastAsia"/>
          <w:sz w:val="32"/>
          <w:szCs w:val="32"/>
        </w:rPr>
        <w:t>1459.11</w:t>
      </w:r>
      <w:r>
        <w:rPr>
          <w:rFonts w:ascii="TimesNewRoman" w:eastAsia="仿宋_GB2312" w:hAnsi="TimesNewRoman" w:cs="TimesNewRoman" w:hint="eastAsia"/>
          <w:sz w:val="32"/>
          <w:szCs w:val="32"/>
        </w:rPr>
        <w:t>万元，支出包括：社会保障和就业支出</w:t>
      </w:r>
      <w:r>
        <w:rPr>
          <w:rFonts w:ascii="TimesNewRoman" w:eastAsia="仿宋_GB2312" w:hAnsi="TimesNewRoman" w:cs="TimesNewRoman" w:hint="eastAsia"/>
          <w:sz w:val="32"/>
          <w:szCs w:val="32"/>
        </w:rPr>
        <w:t>525.55</w:t>
      </w:r>
      <w:r>
        <w:rPr>
          <w:rFonts w:ascii="TimesNewRoman" w:eastAsia="仿宋_GB2312" w:hAnsi="TimesNewRoman" w:cs="TimesNewRoman" w:hint="eastAsia"/>
          <w:sz w:val="32"/>
          <w:szCs w:val="32"/>
        </w:rPr>
        <w:t>万元、卫生健康支出</w:t>
      </w:r>
      <w:r>
        <w:rPr>
          <w:rFonts w:ascii="TimesNewRoman" w:eastAsia="仿宋_GB2312" w:hAnsi="TimesNewRoman" w:cs="TimesNewRoman" w:hint="eastAsia"/>
          <w:sz w:val="32"/>
          <w:szCs w:val="32"/>
        </w:rPr>
        <w:t>830.53</w:t>
      </w:r>
      <w:r>
        <w:rPr>
          <w:rFonts w:ascii="TimesNewRoman" w:eastAsia="仿宋_GB2312" w:hAnsi="TimesNewRoman" w:cs="TimesNewRoman" w:hint="eastAsia"/>
          <w:sz w:val="32"/>
          <w:szCs w:val="32"/>
        </w:rPr>
        <w:t>万元、住房保障支出</w:t>
      </w:r>
      <w:r>
        <w:rPr>
          <w:rFonts w:ascii="TimesNewRoman" w:eastAsia="仿宋_GB2312" w:hAnsi="TimesNewRoman" w:cs="TimesNewRoman" w:hint="eastAsia"/>
          <w:sz w:val="32"/>
          <w:szCs w:val="32"/>
        </w:rPr>
        <w:t>103.03</w:t>
      </w:r>
      <w:r>
        <w:rPr>
          <w:rFonts w:ascii="TimesNewRoman" w:eastAsia="仿宋_GB2312" w:hAnsi="TimesNewRoman" w:cs="TimesNewRoman" w:hint="eastAsia"/>
          <w:sz w:val="32"/>
          <w:szCs w:val="32"/>
        </w:rPr>
        <w:t>万元。</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二、关于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年收入总表的说明</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淮北市传染病医院</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年收入预算</w:t>
      </w:r>
      <w:r>
        <w:rPr>
          <w:rFonts w:ascii="TimesNewRoman" w:eastAsia="仿宋_GB2312" w:hAnsi="TimesNewRoman" w:cs="TimesNewRoman" w:hint="eastAsia"/>
          <w:kern w:val="0"/>
          <w:sz w:val="32"/>
          <w:szCs w:val="32"/>
        </w:rPr>
        <w:t>1459.11</w:t>
      </w:r>
      <w:r>
        <w:rPr>
          <w:rFonts w:ascii="TimesNewRoman" w:eastAsia="仿宋_GB2312" w:hAnsi="TimesNewRoman" w:cs="TimesNewRoman" w:hint="eastAsia"/>
          <w:kern w:val="0"/>
          <w:sz w:val="32"/>
          <w:szCs w:val="32"/>
        </w:rPr>
        <w:t>万元，其中，本年收入</w:t>
      </w:r>
      <w:r>
        <w:rPr>
          <w:rFonts w:ascii="TimesNewRoman" w:eastAsia="仿宋_GB2312" w:hAnsi="TimesNewRoman" w:cs="TimesNewRoman" w:hint="eastAsia"/>
          <w:kern w:val="0"/>
          <w:sz w:val="32"/>
          <w:szCs w:val="32"/>
        </w:rPr>
        <w:t>1459.11</w:t>
      </w:r>
      <w:r>
        <w:rPr>
          <w:rFonts w:ascii="TimesNewRoman" w:eastAsia="仿宋_GB2312" w:hAnsi="TimesNewRoman" w:cs="TimesNewRoman" w:hint="eastAsia"/>
          <w:kern w:val="0"/>
          <w:sz w:val="32"/>
          <w:szCs w:val="32"/>
        </w:rPr>
        <w:t>万元。</w:t>
      </w:r>
    </w:p>
    <w:p w:rsidR="00C207FF" w:rsidRDefault="001A75EE">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（一）本年收入</w:t>
      </w:r>
      <w:r>
        <w:rPr>
          <w:rFonts w:ascii="TimesNewRoman" w:eastAsia="仿宋_GB2312" w:hAnsi="TimesNewRoman" w:cs="TimesNewRoman" w:hint="eastAsia"/>
          <w:b/>
          <w:kern w:val="0"/>
          <w:sz w:val="32"/>
          <w:szCs w:val="32"/>
        </w:rPr>
        <w:t>1459.11</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主要包括：一般公共预算拨款收入</w:t>
      </w:r>
      <w:r>
        <w:rPr>
          <w:rFonts w:ascii="TimesNewRoman" w:eastAsia="仿宋_GB2312" w:hAnsi="TimesNewRoman" w:cs="TimesNewRoman" w:hint="eastAsia"/>
          <w:kern w:val="0"/>
          <w:sz w:val="32"/>
          <w:szCs w:val="32"/>
        </w:rPr>
        <w:t>1459.11</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616.25</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73.11%</w:t>
      </w:r>
      <w:r>
        <w:rPr>
          <w:rFonts w:ascii="TimesNewRoman" w:eastAsia="仿宋_GB2312" w:hAnsi="TimesNewRoman" w:cs="TimesNewRoman" w:hint="eastAsia"/>
          <w:kern w:val="0"/>
          <w:sz w:val="32"/>
          <w:szCs w:val="32"/>
        </w:rPr>
        <w:t>，原因主要是本年比去年增加了补交养老保险</w:t>
      </w:r>
      <w:r>
        <w:rPr>
          <w:rFonts w:ascii="TimesNewRoman" w:eastAsia="仿宋_GB2312" w:hAnsi="TimesNewRoman" w:cs="TimesNewRoman" w:hint="eastAsia"/>
          <w:kern w:val="0"/>
          <w:sz w:val="32"/>
          <w:szCs w:val="32"/>
        </w:rPr>
        <w:t>385.3</w:t>
      </w:r>
      <w:r>
        <w:rPr>
          <w:rFonts w:ascii="TimesNewRoman" w:eastAsia="仿宋_GB2312" w:hAnsi="TimesNewRoman" w:cs="TimesNewRoman" w:hint="eastAsia"/>
          <w:kern w:val="0"/>
          <w:sz w:val="32"/>
          <w:szCs w:val="32"/>
        </w:rPr>
        <w:t>万元，偿还日元贷款</w:t>
      </w:r>
      <w:r>
        <w:rPr>
          <w:rFonts w:ascii="TimesNewRoman" w:eastAsia="仿宋_GB2312" w:hAnsi="TimesNewRoman" w:cs="TimesNewRoman" w:hint="eastAsia"/>
          <w:kern w:val="0"/>
          <w:sz w:val="32"/>
          <w:szCs w:val="32"/>
        </w:rPr>
        <w:t>81</w:t>
      </w:r>
      <w:r>
        <w:rPr>
          <w:rFonts w:ascii="TimesNewRoman" w:eastAsia="仿宋_GB2312" w:hAnsi="TimesNewRoman" w:cs="TimesNewRoman" w:hint="eastAsia"/>
          <w:kern w:val="0"/>
          <w:sz w:val="32"/>
          <w:szCs w:val="32"/>
        </w:rPr>
        <w:t>万元以及人员经费滚动增加。</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三、关于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年支出总表的说明</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淮北市传染病医院</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年支出预算</w:t>
      </w:r>
      <w:r>
        <w:rPr>
          <w:rFonts w:ascii="TimesNewRoman" w:eastAsia="仿宋_GB2312" w:hAnsi="TimesNewRoman" w:cs="TimesNewRoman" w:hint="eastAsia"/>
          <w:kern w:val="0"/>
          <w:sz w:val="32"/>
          <w:szCs w:val="32"/>
        </w:rPr>
        <w:t>1459.11</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616.25</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73.11%</w:t>
      </w:r>
      <w:r>
        <w:rPr>
          <w:rFonts w:ascii="TimesNewRoman" w:eastAsia="仿宋_GB2312" w:hAnsi="TimesNewRoman" w:cs="TimesNewRoman" w:hint="eastAsia"/>
          <w:kern w:val="0"/>
          <w:sz w:val="32"/>
          <w:szCs w:val="32"/>
        </w:rPr>
        <w:t>，原因主要是原因主要是本年比去年增加了补交养老保险</w:t>
      </w:r>
      <w:r>
        <w:rPr>
          <w:rFonts w:ascii="TimesNewRoman" w:eastAsia="仿宋_GB2312" w:hAnsi="TimesNewRoman" w:cs="TimesNewRoman" w:hint="eastAsia"/>
          <w:kern w:val="0"/>
          <w:sz w:val="32"/>
          <w:szCs w:val="32"/>
        </w:rPr>
        <w:t>385.3</w:t>
      </w:r>
      <w:r>
        <w:rPr>
          <w:rFonts w:ascii="TimesNewRoman" w:eastAsia="仿宋_GB2312" w:hAnsi="TimesNewRoman" w:cs="TimesNewRoman" w:hint="eastAsia"/>
          <w:kern w:val="0"/>
          <w:sz w:val="32"/>
          <w:szCs w:val="32"/>
        </w:rPr>
        <w:t>万元，偿还日元贷款</w:t>
      </w:r>
      <w:r>
        <w:rPr>
          <w:rFonts w:ascii="TimesNewRoman" w:eastAsia="仿宋_GB2312" w:hAnsi="TimesNewRoman" w:cs="TimesNewRoman" w:hint="eastAsia"/>
          <w:kern w:val="0"/>
          <w:sz w:val="32"/>
          <w:szCs w:val="32"/>
        </w:rPr>
        <w:t>81</w:t>
      </w:r>
      <w:r>
        <w:rPr>
          <w:rFonts w:ascii="TimesNewRoman" w:eastAsia="仿宋_GB2312" w:hAnsi="TimesNewRoman" w:cs="TimesNewRoman" w:hint="eastAsia"/>
          <w:kern w:val="0"/>
          <w:sz w:val="32"/>
          <w:szCs w:val="32"/>
        </w:rPr>
        <w:t>万元以及人员经费滚动增加。其中，基本支出</w:t>
      </w:r>
      <w:r>
        <w:rPr>
          <w:rFonts w:ascii="TimesNewRoman" w:eastAsia="仿宋_GB2312" w:hAnsi="TimesNewRoman" w:cs="TimesNewRoman" w:hint="eastAsia"/>
          <w:kern w:val="0"/>
          <w:sz w:val="32"/>
          <w:szCs w:val="32"/>
        </w:rPr>
        <w:t>948.01</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64.97%</w:t>
      </w:r>
      <w:r>
        <w:rPr>
          <w:rFonts w:ascii="TimesNewRoman" w:eastAsia="仿宋_GB2312" w:hAnsi="TimesNewRoman" w:cs="TimesNewRoman" w:hint="eastAsia"/>
          <w:kern w:val="0"/>
          <w:sz w:val="32"/>
          <w:szCs w:val="32"/>
        </w:rPr>
        <w:t>，主要用于保障机构日常运转、完成日常工作任务；项目支出</w:t>
      </w:r>
      <w:r>
        <w:rPr>
          <w:rFonts w:ascii="TimesNewRoman" w:eastAsia="仿宋_GB2312" w:hAnsi="TimesNewRoman" w:cs="TimesNewRoman" w:hint="eastAsia"/>
          <w:kern w:val="0"/>
          <w:sz w:val="32"/>
          <w:szCs w:val="32"/>
        </w:rPr>
        <w:t>511.1</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35.03%</w:t>
      </w:r>
      <w:r>
        <w:rPr>
          <w:rFonts w:ascii="TimesNewRoman" w:eastAsia="仿宋_GB2312" w:hAnsi="TimesNewRoman" w:cs="TimesNewRoman" w:hint="eastAsia"/>
          <w:kern w:val="0"/>
          <w:sz w:val="32"/>
          <w:szCs w:val="32"/>
        </w:rPr>
        <w:t>，主要用于维护医院正常运行、补交人事代理养老保险及偿还日元贷款。</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四、关于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年财政拨款收支总表的说明</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年财政拨款收支预算</w:t>
      </w:r>
      <w:r>
        <w:rPr>
          <w:rFonts w:ascii="TimesNewRoman" w:eastAsia="仿宋_GB2312" w:hAnsi="TimesNewRoman" w:cs="TimesNewRoman" w:hint="eastAsia"/>
          <w:kern w:val="0"/>
          <w:sz w:val="32"/>
          <w:szCs w:val="32"/>
        </w:rPr>
        <w:t>1459.11</w:t>
      </w:r>
      <w:r>
        <w:rPr>
          <w:rFonts w:ascii="TimesNewRoman" w:eastAsia="仿宋_GB2312" w:hAnsi="TimesNewRoman" w:cs="TimesNewRoman" w:hint="eastAsia"/>
          <w:kern w:val="0"/>
          <w:sz w:val="32"/>
          <w:szCs w:val="32"/>
        </w:rPr>
        <w:t>万元。收入按资金来源分为：一般公共预算拨款</w:t>
      </w:r>
      <w:r>
        <w:rPr>
          <w:rFonts w:ascii="TimesNewRoman" w:eastAsia="仿宋_GB2312" w:hAnsi="TimesNewRoman" w:cs="TimesNewRoman" w:hint="eastAsia"/>
          <w:kern w:val="0"/>
          <w:sz w:val="32"/>
          <w:szCs w:val="32"/>
        </w:rPr>
        <w:t>1459.11</w:t>
      </w:r>
      <w:r>
        <w:rPr>
          <w:rFonts w:ascii="TimesNewRoman" w:eastAsia="仿宋_GB2312" w:hAnsi="TimesNewRoman" w:cs="TimesNewRoman" w:hint="eastAsia"/>
          <w:kern w:val="0"/>
          <w:sz w:val="32"/>
          <w:szCs w:val="32"/>
        </w:rPr>
        <w:t>万元、政府性基金预算拨款</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万元；按资金年度分为：本年财政拨款收入</w:t>
      </w:r>
      <w:r>
        <w:rPr>
          <w:rFonts w:ascii="TimesNewRoman" w:eastAsia="仿宋_GB2312" w:hAnsi="TimesNewRoman" w:cs="TimesNewRoman" w:hint="eastAsia"/>
          <w:kern w:val="0"/>
          <w:sz w:val="32"/>
          <w:szCs w:val="32"/>
        </w:rPr>
        <w:t>1459.11</w:t>
      </w:r>
      <w:r>
        <w:rPr>
          <w:rFonts w:ascii="TimesNewRoman" w:eastAsia="仿宋_GB2312" w:hAnsi="TimesNewRoman" w:cs="TimesNewRoman" w:hint="eastAsia"/>
          <w:kern w:val="0"/>
          <w:sz w:val="32"/>
          <w:szCs w:val="32"/>
        </w:rPr>
        <w:t>万元。支出按功能分类分为：社会保障和就业支出</w:t>
      </w:r>
      <w:r>
        <w:rPr>
          <w:rFonts w:ascii="TimesNewRoman" w:eastAsia="仿宋_GB2312" w:hAnsi="TimesNewRoman" w:cs="TimesNewRoman" w:hint="eastAsia"/>
          <w:kern w:val="0"/>
          <w:sz w:val="32"/>
          <w:szCs w:val="32"/>
        </w:rPr>
        <w:t>525.55</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36.02%</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830.53</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56.92%</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103.03</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7.06%</w:t>
      </w:r>
      <w:r>
        <w:rPr>
          <w:rFonts w:ascii="TimesNewRoman" w:eastAsia="仿宋_GB2312" w:hAnsi="TimesNewRoman" w:cs="TimesNewRoman" w:hint="eastAsia"/>
          <w:kern w:val="0"/>
          <w:sz w:val="32"/>
          <w:szCs w:val="32"/>
        </w:rPr>
        <w:t>。</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五、关于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年一般公共预算支出表的说明</w:t>
      </w:r>
    </w:p>
    <w:p w:rsidR="00C207FF" w:rsidRDefault="001A75EE">
      <w:pPr>
        <w:pStyle w:val="a3"/>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（一）一般公共预算支出规模变化情况。</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年一般公共预算支出</w:t>
      </w:r>
      <w:r>
        <w:rPr>
          <w:rFonts w:ascii="TimesNewRoman" w:eastAsia="仿宋_GB2312" w:hAnsi="TimesNewRoman" w:cs="TimesNewRoman" w:hint="eastAsia"/>
          <w:kern w:val="0"/>
          <w:sz w:val="32"/>
          <w:szCs w:val="32"/>
        </w:rPr>
        <w:t>1459.11</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616.25</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73.11%%</w:t>
      </w:r>
      <w:r>
        <w:rPr>
          <w:rFonts w:ascii="TimesNewRoman" w:eastAsia="仿宋_GB2312" w:hAnsi="TimesNewRoman" w:cs="TimesNewRoman" w:hint="eastAsia"/>
          <w:kern w:val="0"/>
          <w:sz w:val="32"/>
          <w:szCs w:val="32"/>
        </w:rPr>
        <w:t>，主要原因：本年比去年增加了补交养老保险</w:t>
      </w:r>
      <w:r>
        <w:rPr>
          <w:rFonts w:ascii="TimesNewRoman" w:eastAsia="仿宋_GB2312" w:hAnsi="TimesNewRoman" w:cs="TimesNewRoman" w:hint="eastAsia"/>
          <w:kern w:val="0"/>
          <w:sz w:val="32"/>
          <w:szCs w:val="32"/>
        </w:rPr>
        <w:t>385.3</w:t>
      </w:r>
      <w:r>
        <w:rPr>
          <w:rFonts w:ascii="TimesNewRoman" w:eastAsia="仿宋_GB2312" w:hAnsi="TimesNewRoman" w:cs="TimesNewRoman" w:hint="eastAsia"/>
          <w:kern w:val="0"/>
          <w:sz w:val="32"/>
          <w:szCs w:val="32"/>
        </w:rPr>
        <w:t>万元，偿还日元贷款</w:t>
      </w:r>
      <w:r>
        <w:rPr>
          <w:rFonts w:ascii="TimesNewRoman" w:eastAsia="仿宋_GB2312" w:hAnsi="TimesNewRoman" w:cs="TimesNewRoman" w:hint="eastAsia"/>
          <w:kern w:val="0"/>
          <w:sz w:val="32"/>
          <w:szCs w:val="32"/>
        </w:rPr>
        <w:t>81</w:t>
      </w:r>
      <w:r>
        <w:rPr>
          <w:rFonts w:ascii="TimesNewRoman" w:eastAsia="仿宋_GB2312" w:hAnsi="TimesNewRoman" w:cs="TimesNewRoman" w:hint="eastAsia"/>
          <w:kern w:val="0"/>
          <w:sz w:val="32"/>
          <w:szCs w:val="32"/>
        </w:rPr>
        <w:t>万元以及人员经费滚动增加。</w:t>
      </w:r>
    </w:p>
    <w:p w:rsidR="00C207FF" w:rsidRDefault="001A75EE">
      <w:pPr>
        <w:pStyle w:val="a3"/>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（二）一般公共预算支出结构情况。</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社会保障和就业支出</w:t>
      </w:r>
      <w:r>
        <w:rPr>
          <w:rFonts w:ascii="TimesNewRoman" w:eastAsia="仿宋_GB2312" w:hAnsi="TimesNewRoman" w:cs="TimesNewRoman" w:hint="eastAsia"/>
          <w:kern w:val="0"/>
          <w:sz w:val="32"/>
          <w:szCs w:val="32"/>
        </w:rPr>
        <w:t>525.55</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36.02%</w:t>
      </w:r>
      <w:r>
        <w:rPr>
          <w:rFonts w:ascii="TimesNewRoman" w:eastAsia="仿宋_GB2312" w:hAnsi="TimesNewRoman" w:cs="TimesNewRoman" w:hint="eastAsia"/>
          <w:kern w:val="0"/>
          <w:sz w:val="32"/>
          <w:szCs w:val="32"/>
        </w:rPr>
        <w:t>；卫生健康支出</w:t>
      </w:r>
      <w:r>
        <w:rPr>
          <w:rFonts w:ascii="TimesNewRoman" w:eastAsia="仿宋_GB2312" w:hAnsi="TimesNewRoman" w:cs="TimesNewRoman" w:hint="eastAsia"/>
          <w:kern w:val="0"/>
          <w:sz w:val="32"/>
          <w:szCs w:val="32"/>
        </w:rPr>
        <w:t>830.53</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56.92%</w:t>
      </w:r>
      <w:r>
        <w:rPr>
          <w:rFonts w:ascii="TimesNewRoman" w:eastAsia="仿宋_GB2312" w:hAnsi="TimesNewRoman" w:cs="TimesNewRoman" w:hint="eastAsia"/>
          <w:kern w:val="0"/>
          <w:sz w:val="32"/>
          <w:szCs w:val="32"/>
        </w:rPr>
        <w:t>；住房保障支出</w:t>
      </w:r>
      <w:r>
        <w:rPr>
          <w:rFonts w:ascii="TimesNewRoman" w:eastAsia="仿宋_GB2312" w:hAnsi="TimesNewRoman" w:cs="TimesNewRoman" w:hint="eastAsia"/>
          <w:kern w:val="0"/>
          <w:sz w:val="32"/>
          <w:szCs w:val="32"/>
        </w:rPr>
        <w:t>103.03</w:t>
      </w:r>
      <w:r>
        <w:rPr>
          <w:rFonts w:ascii="TimesNewRoman" w:eastAsia="仿宋_GB2312" w:hAnsi="TimesNewRoman" w:cs="TimesNewRoman" w:hint="eastAsia"/>
          <w:kern w:val="0"/>
          <w:sz w:val="32"/>
          <w:szCs w:val="32"/>
        </w:rPr>
        <w:t>万元，占</w:t>
      </w:r>
      <w:r>
        <w:rPr>
          <w:rFonts w:ascii="TimesNewRoman" w:eastAsia="仿宋_GB2312" w:hAnsi="TimesNewRoman" w:cs="TimesNewRoman" w:hint="eastAsia"/>
          <w:kern w:val="0"/>
          <w:sz w:val="32"/>
          <w:szCs w:val="32"/>
        </w:rPr>
        <w:t>7.06%</w:t>
      </w:r>
      <w:r>
        <w:rPr>
          <w:rFonts w:ascii="TimesNewRoman" w:eastAsia="仿宋_GB2312" w:hAnsi="TimesNewRoman" w:cs="TimesNewRoman" w:hint="eastAsia"/>
          <w:kern w:val="0"/>
          <w:sz w:val="32"/>
          <w:szCs w:val="32"/>
        </w:rPr>
        <w:t>。</w:t>
      </w:r>
    </w:p>
    <w:p w:rsidR="00C207FF" w:rsidRDefault="001A75EE">
      <w:pPr>
        <w:pStyle w:val="a3"/>
        <w:adjustRightInd w:val="0"/>
        <w:snapToGrid w:val="0"/>
        <w:spacing w:line="560" w:lineRule="exact"/>
        <w:ind w:firstLineChars="196" w:firstLine="630"/>
        <w:rPr>
          <w:rFonts w:ascii="TimesNewRoman" w:eastAsia="楷体_GB2312" w:hAnsi="TimesNewRoman" w:cs="TimesNewRoman"/>
          <w:b/>
          <w:sz w:val="32"/>
          <w:szCs w:val="32"/>
        </w:rPr>
      </w:pPr>
      <w:r>
        <w:rPr>
          <w:rFonts w:ascii="TimesNewRoman" w:eastAsia="楷体_GB2312" w:hAnsi="TimesNewRoman" w:cs="TimesNewRoman" w:hint="eastAsia"/>
          <w:b/>
          <w:sz w:val="32"/>
          <w:szCs w:val="32"/>
        </w:rPr>
        <w:t>（三）一般公共预算支出具体使用情况。</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w:t>
      </w:r>
      <w:r>
        <w:rPr>
          <w:rFonts w:ascii="TimesNewRoman" w:eastAsia="楷体_GB2312" w:hAnsi="TimesNewRoman" w:cs="TimesNewRoman" w:hint="eastAsia"/>
          <w:b/>
          <w:kern w:val="0"/>
          <w:sz w:val="32"/>
          <w:szCs w:val="32"/>
        </w:rPr>
        <w:t>社会保障和就业支出：</w:t>
      </w:r>
      <w:r>
        <w:rPr>
          <w:rFonts w:ascii="TimesNewRoman" w:eastAsia="仿宋_GB2312" w:hAnsi="TimesNewRoman" w:cs="TimesNewRoman" w:hint="eastAsia"/>
          <w:kern w:val="0"/>
          <w:sz w:val="32"/>
          <w:szCs w:val="32"/>
        </w:rPr>
        <w:t>行政事业单位养老支出</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事业单位离退休</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12.44</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w:t>
      </w:r>
      <w:r>
        <w:rPr>
          <w:rFonts w:ascii="TimesNewRoman" w:eastAsia="仿宋_GB2312" w:hAnsi="TimesNewRoman" w:cs="TimesNewRoman" w:hint="eastAsia"/>
          <w:kern w:val="0"/>
          <w:sz w:val="32"/>
          <w:szCs w:val="32"/>
        </w:rPr>
        <w:lastRenderedPageBreak/>
        <w:t>加</w:t>
      </w:r>
      <w:r>
        <w:rPr>
          <w:rFonts w:ascii="TimesNewRoman" w:eastAsia="仿宋_GB2312" w:hAnsi="TimesNewRoman" w:cs="TimesNewRoman" w:hint="eastAsia"/>
          <w:kern w:val="0"/>
          <w:sz w:val="32"/>
          <w:szCs w:val="32"/>
        </w:rPr>
        <w:t>10.8</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635.94%</w:t>
      </w:r>
      <w:r>
        <w:rPr>
          <w:rFonts w:ascii="TimesNewRoman" w:eastAsia="仿宋_GB2312" w:hAnsi="TimesNewRoman" w:cs="TimesNewRoman" w:hint="eastAsia"/>
          <w:kern w:val="0"/>
          <w:sz w:val="32"/>
          <w:szCs w:val="32"/>
        </w:rPr>
        <w:t>，原因主要是退休人员增加。</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机关事业单位基本养老保险缴费支出</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83.44</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23</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38.01%</w:t>
      </w:r>
      <w:r>
        <w:rPr>
          <w:rFonts w:ascii="TimesNewRoman" w:eastAsia="仿宋_GB2312" w:hAnsi="TimesNewRoman" w:cs="TimesNewRoman" w:hint="eastAsia"/>
          <w:kern w:val="0"/>
          <w:sz w:val="32"/>
          <w:szCs w:val="32"/>
        </w:rPr>
        <w:t>，原因主要是养老保险基数增长。</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机关事业单位职业年金缴费支出</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41.72</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11.5</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38.01%</w:t>
      </w:r>
      <w:r>
        <w:rPr>
          <w:rFonts w:ascii="TimesNewRoman" w:eastAsia="仿宋_GB2312" w:hAnsi="TimesNewRoman" w:cs="TimesNewRoman" w:hint="eastAsia"/>
          <w:kern w:val="0"/>
          <w:sz w:val="32"/>
          <w:szCs w:val="32"/>
        </w:rPr>
        <w:t>，原因主要是养老保险基数增长。</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其他社会保障和就业支出</w:t>
      </w:r>
      <w:r>
        <w:rPr>
          <w:rFonts w:ascii="TimesNewRoman" w:eastAsia="仿宋_GB2312" w:hAnsi="TimesNewRoman" w:cs="TimesNewRoman" w:hint="eastAsia"/>
          <w:kern w:val="0"/>
          <w:sz w:val="32"/>
          <w:szCs w:val="32"/>
        </w:rPr>
        <w:t>2.65</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385.3</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14566.56%</w:t>
      </w:r>
      <w:r>
        <w:rPr>
          <w:rFonts w:ascii="TimesNewRoman" w:eastAsia="仿宋_GB2312" w:hAnsi="TimesNewRoman" w:cs="TimesNewRoman" w:hint="eastAsia"/>
          <w:kern w:val="0"/>
          <w:sz w:val="32"/>
          <w:szCs w:val="32"/>
        </w:rPr>
        <w:t>，原因主要是收到人事代理人员补交养老保险。</w:t>
      </w:r>
    </w:p>
    <w:p w:rsidR="00C207FF" w:rsidRDefault="00C207FF">
      <w:pPr>
        <w:ind w:firstLineChars="100" w:firstLine="320"/>
        <w:rPr>
          <w:rFonts w:ascii="TimesNewRoman" w:eastAsia="仿宋_GB2312" w:hAnsi="TimesNewRoman" w:cs="TimesNewRoman"/>
          <w:kern w:val="0"/>
          <w:sz w:val="32"/>
          <w:szCs w:val="32"/>
        </w:rPr>
      </w:pPr>
    </w:p>
    <w:p w:rsidR="00C207FF" w:rsidRDefault="001A75EE">
      <w:pPr>
        <w:numPr>
          <w:ilvl w:val="0"/>
          <w:numId w:val="1"/>
        </w:numPr>
        <w:ind w:firstLineChars="200" w:firstLine="643"/>
        <w:rPr>
          <w:rFonts w:ascii="TimesNewRoman" w:eastAsia="仿宋_GB2312" w:hAnsi="TimesNewRoman" w:cs="TimesNewRoman"/>
          <w:kern w:val="0"/>
          <w:sz w:val="32"/>
          <w:szCs w:val="32"/>
        </w:rPr>
      </w:pPr>
      <w:r>
        <w:rPr>
          <w:rFonts w:ascii="TimesNewRoman" w:eastAsia="楷体_GB2312" w:hAnsi="TimesNewRoman" w:cs="TimesNewRoman" w:hint="eastAsia"/>
          <w:b/>
          <w:kern w:val="0"/>
          <w:sz w:val="32"/>
          <w:szCs w:val="32"/>
        </w:rPr>
        <w:t>住房保障支出：</w:t>
      </w:r>
      <w:r>
        <w:rPr>
          <w:rFonts w:ascii="TimesNewRoman" w:eastAsia="仿宋_GB2312" w:hAnsi="TimesNewRoman" w:cs="TimesNewRoman" w:hint="eastAsia"/>
          <w:kern w:val="0"/>
          <w:sz w:val="32"/>
          <w:szCs w:val="32"/>
        </w:rPr>
        <w:t>住房改革支出</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住房公积金</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72.73</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38.9</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34.85%</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本年有退休人员及离职人员。</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本年</w:t>
      </w:r>
      <w:proofErr w:type="gramStart"/>
      <w:r>
        <w:rPr>
          <w:rFonts w:ascii="TimesNewRoman" w:eastAsia="仿宋_GB2312" w:hAnsi="TimesNewRoman" w:cs="TimesNewRoman" w:hint="eastAsia"/>
          <w:kern w:val="0"/>
          <w:sz w:val="32"/>
          <w:szCs w:val="32"/>
        </w:rPr>
        <w:t>未预算</w:t>
      </w:r>
      <w:proofErr w:type="gramEnd"/>
      <w:r>
        <w:rPr>
          <w:rFonts w:ascii="TimesNewRoman" w:eastAsia="仿宋_GB2312" w:hAnsi="TimesNewRoman" w:cs="TimesNewRoman" w:hint="eastAsia"/>
          <w:kern w:val="0"/>
          <w:sz w:val="32"/>
          <w:szCs w:val="32"/>
        </w:rPr>
        <w:t>提租补贴。</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购房补贴</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30.3</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16.2</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34.85%</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本年有退休人员及离职人员。</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本年</w:t>
      </w:r>
      <w:proofErr w:type="gramStart"/>
      <w:r>
        <w:rPr>
          <w:rFonts w:ascii="TimesNewRoman" w:eastAsia="仿宋_GB2312" w:hAnsi="TimesNewRoman" w:cs="TimesNewRoman" w:hint="eastAsia"/>
          <w:kern w:val="0"/>
          <w:sz w:val="32"/>
          <w:szCs w:val="32"/>
        </w:rPr>
        <w:t>未预算</w:t>
      </w:r>
      <w:proofErr w:type="gramEnd"/>
      <w:r>
        <w:rPr>
          <w:rFonts w:ascii="TimesNewRoman" w:eastAsia="仿宋_GB2312" w:hAnsi="TimesNewRoman" w:cs="TimesNewRoman" w:hint="eastAsia"/>
          <w:kern w:val="0"/>
          <w:sz w:val="32"/>
          <w:szCs w:val="32"/>
        </w:rPr>
        <w:t>提租补贴。</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提租补贴</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年预算减少</w:t>
      </w:r>
      <w:r>
        <w:rPr>
          <w:rFonts w:ascii="TimesNewRoman" w:eastAsia="仿宋_GB2312" w:hAnsi="TimesNewRoman" w:cs="TimesNewRoman" w:hint="eastAsia"/>
          <w:kern w:val="0"/>
          <w:sz w:val="32"/>
          <w:szCs w:val="32"/>
        </w:rPr>
        <w:t>46.51</w:t>
      </w:r>
      <w:r>
        <w:rPr>
          <w:rFonts w:ascii="TimesNewRoman" w:eastAsia="仿宋_GB2312" w:hAnsi="TimesNewRoman" w:cs="TimesNewRoman" w:hint="eastAsia"/>
          <w:kern w:val="0"/>
          <w:sz w:val="32"/>
          <w:szCs w:val="32"/>
        </w:rPr>
        <w:t>万元，下降</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w:t>
      </w:r>
    </w:p>
    <w:p w:rsidR="00C207FF" w:rsidRDefault="00C207FF">
      <w:pPr>
        <w:ind w:firstLineChars="200" w:firstLine="640"/>
        <w:rPr>
          <w:rFonts w:ascii="TimesNewRoman" w:eastAsia="仿宋_GB2312" w:hAnsi="TimesNewRoman" w:cs="TimesNewRoman"/>
          <w:kern w:val="0"/>
          <w:sz w:val="32"/>
          <w:szCs w:val="32"/>
        </w:rPr>
      </w:pPr>
    </w:p>
    <w:p w:rsidR="00C207FF" w:rsidRDefault="00C207FF">
      <w:pPr>
        <w:ind w:firstLineChars="200" w:firstLine="640"/>
        <w:rPr>
          <w:rFonts w:ascii="TimesNewRoman" w:eastAsia="仿宋_GB2312" w:hAnsi="TimesNewRoman" w:cs="TimesNewRoman"/>
          <w:kern w:val="0"/>
          <w:sz w:val="32"/>
          <w:szCs w:val="32"/>
        </w:rPr>
      </w:pPr>
    </w:p>
    <w:p w:rsidR="00C207FF" w:rsidRDefault="001A75EE">
      <w:pPr>
        <w:numPr>
          <w:ilvl w:val="0"/>
          <w:numId w:val="1"/>
        </w:numPr>
        <w:ind w:firstLineChars="200" w:firstLine="643"/>
        <w:rPr>
          <w:rFonts w:ascii="TimesNewRoman" w:eastAsia="仿宋_GB2312" w:hAnsi="TimesNewRoman" w:cs="TimesNewRoman"/>
          <w:kern w:val="0"/>
          <w:sz w:val="32"/>
          <w:szCs w:val="32"/>
        </w:rPr>
      </w:pPr>
      <w:r>
        <w:rPr>
          <w:rFonts w:ascii="TimesNewRoman" w:eastAsia="楷体_GB2312" w:hAnsi="TimesNewRoman" w:cs="TimesNewRoman" w:hint="eastAsia"/>
          <w:b/>
          <w:kern w:val="0"/>
          <w:sz w:val="32"/>
          <w:szCs w:val="32"/>
        </w:rPr>
        <w:lastRenderedPageBreak/>
        <w:t>卫生健康支出</w:t>
      </w:r>
      <w:bookmarkStart w:id="0" w:name="_GoBack"/>
      <w:bookmarkEnd w:id="0"/>
      <w:r>
        <w:rPr>
          <w:rFonts w:ascii="TimesNewRoman" w:eastAsia="仿宋_GB2312" w:hAnsi="TimesNewRoman" w:cs="TimesNewRoman" w:hint="eastAsia"/>
          <w:kern w:val="0"/>
          <w:sz w:val="32"/>
          <w:szCs w:val="32"/>
        </w:rPr>
        <w:t>：公立医院</w:t>
      </w:r>
    </w:p>
    <w:p w:rsidR="00C207FF" w:rsidRDefault="001A75EE" w:rsidP="00F6424E">
      <w:pPr>
        <w:ind w:leftChars="200" w:left="420" w:firstLineChars="300" w:firstLine="96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传染病医院</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787.38</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287.3</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57.44%</w:t>
      </w:r>
      <w:r>
        <w:rPr>
          <w:rFonts w:ascii="TimesNewRoman" w:eastAsia="仿宋_GB2312" w:hAnsi="TimesNewRoman" w:cs="TimesNewRoman" w:hint="eastAsia"/>
          <w:kern w:val="0"/>
          <w:sz w:val="32"/>
          <w:szCs w:val="32"/>
        </w:rPr>
        <w:t>，原因主要是</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收到偿还日元贷款拨款，</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人员经费较去年增加。</w:t>
      </w:r>
    </w:p>
    <w:p w:rsidR="00C207FF" w:rsidRDefault="001A75EE" w:rsidP="00F6424E">
      <w:pPr>
        <w:ind w:leftChars="200" w:left="420" w:firstLineChars="300" w:firstLine="96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卫生健康：行政事业单位医疗</w:t>
      </w:r>
    </w:p>
    <w:p w:rsidR="00C207FF" w:rsidRDefault="001A75EE" w:rsidP="00F6424E">
      <w:pPr>
        <w:ind w:leftChars="200" w:left="420" w:firstLineChars="300" w:firstLine="96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事业单位医疗</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w:t>
      </w:r>
      <w:r>
        <w:rPr>
          <w:rFonts w:ascii="TimesNewRoman" w:eastAsia="仿宋_GB2312" w:hAnsi="TimesNewRoman" w:cs="TimesNewRoman" w:hint="eastAsia"/>
          <w:kern w:val="0"/>
          <w:sz w:val="32"/>
          <w:szCs w:val="32"/>
        </w:rPr>
        <w:t>31.8</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0.18%</w:t>
      </w:r>
      <w:r>
        <w:rPr>
          <w:rFonts w:ascii="TimesNewRoman" w:eastAsia="仿宋_GB2312" w:hAnsi="TimesNewRoman" w:cs="TimesNewRoman" w:hint="eastAsia"/>
          <w:kern w:val="0"/>
          <w:sz w:val="32"/>
          <w:szCs w:val="32"/>
        </w:rPr>
        <w:t>，原因主要是</w:t>
      </w:r>
      <w:proofErr w:type="gramStart"/>
      <w:r>
        <w:rPr>
          <w:rFonts w:ascii="TimesNewRoman" w:eastAsia="仿宋_GB2312" w:hAnsi="TimesNewRoman" w:cs="TimesNewRoman" w:hint="eastAsia"/>
          <w:kern w:val="0"/>
          <w:sz w:val="32"/>
          <w:szCs w:val="32"/>
        </w:rPr>
        <w:t>医</w:t>
      </w:r>
      <w:proofErr w:type="gramEnd"/>
      <w:r>
        <w:rPr>
          <w:rFonts w:ascii="TimesNewRoman" w:eastAsia="仿宋_GB2312" w:hAnsi="TimesNewRoman" w:cs="TimesNewRoman" w:hint="eastAsia"/>
          <w:kern w:val="0"/>
          <w:sz w:val="32"/>
          <w:szCs w:val="32"/>
        </w:rPr>
        <w:t>保基数增加；</w:t>
      </w:r>
    </w:p>
    <w:p w:rsidR="00C207FF" w:rsidRDefault="001A75EE" w:rsidP="00F6424E">
      <w:pPr>
        <w:ind w:leftChars="200" w:left="420" w:firstLineChars="300" w:firstLine="96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公务员医疗补助</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w:t>
      </w:r>
      <w:r>
        <w:rPr>
          <w:rFonts w:ascii="TimesNewRoman" w:eastAsia="仿宋_GB2312" w:hAnsi="TimesNewRoman" w:cs="TimesNewRoman" w:hint="eastAsia"/>
          <w:kern w:val="0"/>
          <w:sz w:val="32"/>
          <w:szCs w:val="32"/>
        </w:rPr>
        <w:t>11.36</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0.02</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0.18%</w:t>
      </w:r>
      <w:r>
        <w:rPr>
          <w:rFonts w:ascii="TimesNewRoman" w:eastAsia="仿宋_GB2312" w:hAnsi="TimesNewRoman" w:cs="TimesNewRoman" w:hint="eastAsia"/>
          <w:kern w:val="0"/>
          <w:sz w:val="32"/>
          <w:szCs w:val="32"/>
        </w:rPr>
        <w:t>，原因主要是</w:t>
      </w:r>
      <w:proofErr w:type="gramStart"/>
      <w:r>
        <w:rPr>
          <w:rFonts w:ascii="TimesNewRoman" w:eastAsia="仿宋_GB2312" w:hAnsi="TimesNewRoman" w:cs="TimesNewRoman" w:hint="eastAsia"/>
          <w:kern w:val="0"/>
          <w:sz w:val="32"/>
          <w:szCs w:val="32"/>
        </w:rPr>
        <w:t>医</w:t>
      </w:r>
      <w:proofErr w:type="gramEnd"/>
      <w:r>
        <w:rPr>
          <w:rFonts w:ascii="TimesNewRoman" w:eastAsia="仿宋_GB2312" w:hAnsi="TimesNewRoman" w:cs="TimesNewRoman" w:hint="eastAsia"/>
          <w:kern w:val="0"/>
          <w:sz w:val="32"/>
          <w:szCs w:val="32"/>
        </w:rPr>
        <w:t>保基数增加；</w:t>
      </w:r>
    </w:p>
    <w:p w:rsidR="00C207FF" w:rsidRDefault="001A75EE" w:rsidP="00F6424E">
      <w:pPr>
        <w:ind w:leftChars="200" w:left="420" w:firstLineChars="300" w:firstLine="960"/>
        <w:rPr>
          <w:rFonts w:ascii="TimesNewRoman" w:eastAsia="黑体" w:hAnsi="TimesNewRoman" w:cs="TimesNewRoman"/>
          <w:bCs/>
          <w:sz w:val="32"/>
          <w:szCs w:val="32"/>
        </w:rPr>
      </w:pPr>
      <w:r>
        <w:rPr>
          <w:rFonts w:ascii="TimesNewRoman" w:eastAsia="黑体" w:hAnsi="TimesNewRoman" w:cs="TimesNewRoman" w:hint="eastAsia"/>
          <w:bCs/>
          <w:sz w:val="32"/>
          <w:szCs w:val="32"/>
        </w:rPr>
        <w:t>六、关于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年一般公共预算基本支出表的说明</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年一般公共预算基本支出</w:t>
      </w:r>
      <w:r>
        <w:rPr>
          <w:rFonts w:ascii="TimesNewRoman" w:eastAsia="仿宋_GB2312" w:hAnsi="TimesNewRoman" w:cs="TimesNewRoman" w:hint="eastAsia"/>
          <w:kern w:val="0"/>
          <w:sz w:val="32"/>
          <w:szCs w:val="32"/>
        </w:rPr>
        <w:t>948.01</w:t>
      </w:r>
      <w:r>
        <w:rPr>
          <w:rFonts w:ascii="TimesNewRoman" w:eastAsia="仿宋_GB2312" w:hAnsi="TimesNewRoman" w:cs="TimesNewRoman" w:hint="eastAsia"/>
          <w:kern w:val="0"/>
          <w:sz w:val="32"/>
          <w:szCs w:val="32"/>
        </w:rPr>
        <w:t>万元，其中，人员经费</w:t>
      </w:r>
      <w:r>
        <w:rPr>
          <w:rFonts w:ascii="TimesNewRoman" w:eastAsia="仿宋_GB2312" w:hAnsi="TimesNewRoman" w:cs="TimesNewRoman" w:hint="eastAsia"/>
          <w:kern w:val="0"/>
          <w:sz w:val="32"/>
          <w:szCs w:val="32"/>
        </w:rPr>
        <w:t>889.26</w:t>
      </w:r>
      <w:r>
        <w:rPr>
          <w:rFonts w:ascii="TimesNewRoman" w:eastAsia="仿宋_GB2312" w:hAnsi="TimesNewRoman" w:cs="TimesNewRoman" w:hint="eastAsia"/>
          <w:kern w:val="0"/>
          <w:sz w:val="32"/>
          <w:szCs w:val="32"/>
        </w:rPr>
        <w:t>万元，公用经费</w:t>
      </w:r>
      <w:r>
        <w:rPr>
          <w:rFonts w:ascii="TimesNewRoman" w:eastAsia="仿宋_GB2312" w:hAnsi="TimesNewRoman" w:cs="TimesNewRoman" w:hint="eastAsia"/>
          <w:kern w:val="0"/>
          <w:sz w:val="32"/>
          <w:szCs w:val="32"/>
        </w:rPr>
        <w:t>58.75</w:t>
      </w:r>
      <w:r>
        <w:rPr>
          <w:rFonts w:ascii="TimesNewRoman" w:eastAsia="仿宋_GB2312" w:hAnsi="TimesNewRoman" w:cs="TimesNewRoman" w:hint="eastAsia"/>
          <w:kern w:val="0"/>
          <w:sz w:val="32"/>
          <w:szCs w:val="32"/>
        </w:rPr>
        <w:t>万元。</w:t>
      </w:r>
    </w:p>
    <w:p w:rsidR="00C207FF" w:rsidRDefault="001A75EE">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t>（一）人员经费</w:t>
      </w:r>
      <w:r>
        <w:rPr>
          <w:rFonts w:ascii="TimesNewRoman" w:eastAsia="仿宋_GB2312" w:hAnsi="TimesNewRoman" w:cs="TimesNewRoman" w:hint="eastAsia"/>
          <w:b/>
          <w:kern w:val="0"/>
          <w:sz w:val="32"/>
          <w:szCs w:val="32"/>
        </w:rPr>
        <w:t>889.26</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w:t>
      </w: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基本工资</w:t>
      </w:r>
      <w:r>
        <w:rPr>
          <w:rFonts w:ascii="TimesNewRoman" w:eastAsia="仿宋_GB2312" w:hAnsi="TimesNewRoman" w:cs="TimesNewRoman" w:hint="eastAsia"/>
          <w:kern w:val="0"/>
          <w:sz w:val="32"/>
          <w:szCs w:val="32"/>
        </w:rPr>
        <w:t>242.85</w:t>
      </w:r>
      <w:r>
        <w:rPr>
          <w:rFonts w:ascii="TimesNewRoman" w:eastAsia="仿宋_GB2312" w:hAnsi="TimesNewRoman" w:cs="TimesNewRoman" w:hint="eastAsia"/>
          <w:kern w:val="0"/>
          <w:sz w:val="32"/>
          <w:szCs w:val="32"/>
        </w:rPr>
        <w:t>万元、津贴补贴</w:t>
      </w:r>
      <w:r>
        <w:rPr>
          <w:rFonts w:ascii="TimesNewRoman" w:eastAsia="仿宋_GB2312" w:hAnsi="TimesNewRoman" w:cs="TimesNewRoman" w:hint="eastAsia"/>
          <w:kern w:val="0"/>
          <w:sz w:val="32"/>
          <w:szCs w:val="32"/>
        </w:rPr>
        <w:t>2.88</w:t>
      </w:r>
      <w:r>
        <w:rPr>
          <w:rFonts w:ascii="TimesNewRoman" w:eastAsia="仿宋_GB2312" w:hAnsi="TimesNewRoman" w:cs="TimesNewRoman" w:hint="eastAsia"/>
          <w:kern w:val="0"/>
          <w:sz w:val="32"/>
          <w:szCs w:val="32"/>
        </w:rPr>
        <w:t>万元、奖金</w:t>
      </w:r>
      <w:r>
        <w:rPr>
          <w:rFonts w:ascii="TimesNewRoman" w:eastAsia="仿宋_GB2312" w:hAnsi="TimesNewRoman" w:cs="TimesNewRoman" w:hint="eastAsia"/>
          <w:kern w:val="0"/>
          <w:sz w:val="32"/>
          <w:szCs w:val="32"/>
        </w:rPr>
        <w:t>19.09</w:t>
      </w:r>
      <w:r>
        <w:rPr>
          <w:rFonts w:ascii="TimesNewRoman" w:eastAsia="仿宋_GB2312" w:hAnsi="TimesNewRoman" w:cs="TimesNewRoman" w:hint="eastAsia"/>
          <w:kern w:val="0"/>
          <w:sz w:val="32"/>
          <w:szCs w:val="32"/>
        </w:rPr>
        <w:t>万元、绩效工资</w:t>
      </w:r>
      <w:r>
        <w:rPr>
          <w:rFonts w:ascii="TimesNewRoman" w:eastAsia="仿宋_GB2312" w:hAnsi="TimesNewRoman" w:cs="TimesNewRoman" w:hint="eastAsia"/>
          <w:kern w:val="0"/>
          <w:sz w:val="32"/>
          <w:szCs w:val="32"/>
        </w:rPr>
        <w:t>311.78</w:t>
      </w:r>
      <w:r>
        <w:rPr>
          <w:rFonts w:ascii="TimesNewRoman" w:eastAsia="仿宋_GB2312" w:hAnsi="TimesNewRoman" w:cs="TimesNewRoman" w:hint="eastAsia"/>
          <w:kern w:val="0"/>
          <w:sz w:val="32"/>
          <w:szCs w:val="32"/>
        </w:rPr>
        <w:t>万元、机关事业单位基本养老保险费</w:t>
      </w:r>
      <w:r>
        <w:rPr>
          <w:rFonts w:ascii="TimesNewRoman" w:eastAsia="仿宋_GB2312" w:hAnsi="TimesNewRoman" w:cs="TimesNewRoman" w:hint="eastAsia"/>
          <w:kern w:val="0"/>
          <w:sz w:val="32"/>
          <w:szCs w:val="32"/>
        </w:rPr>
        <w:t>83.44</w:t>
      </w:r>
      <w:r>
        <w:rPr>
          <w:rFonts w:ascii="TimesNewRoman" w:eastAsia="仿宋_GB2312" w:hAnsi="TimesNewRoman" w:cs="TimesNewRoman" w:hint="eastAsia"/>
          <w:kern w:val="0"/>
          <w:sz w:val="32"/>
          <w:szCs w:val="32"/>
        </w:rPr>
        <w:t>万元、职业年金缴费</w:t>
      </w:r>
      <w:r>
        <w:rPr>
          <w:rFonts w:ascii="TimesNewRoman" w:eastAsia="仿宋_GB2312" w:hAnsi="TimesNewRoman" w:cs="TimesNewRoman" w:hint="eastAsia"/>
          <w:kern w:val="0"/>
          <w:sz w:val="32"/>
          <w:szCs w:val="32"/>
        </w:rPr>
        <w:t>41.72</w:t>
      </w:r>
      <w:r>
        <w:rPr>
          <w:rFonts w:ascii="TimesNewRoman" w:eastAsia="仿宋_GB2312" w:hAnsi="TimesNewRoman" w:cs="TimesNewRoman" w:hint="eastAsia"/>
          <w:kern w:val="0"/>
          <w:sz w:val="32"/>
          <w:szCs w:val="32"/>
        </w:rPr>
        <w:t>万元、职工基本医疗保险缴费</w:t>
      </w:r>
      <w:r>
        <w:rPr>
          <w:rFonts w:ascii="TimesNewRoman" w:eastAsia="仿宋_GB2312" w:hAnsi="TimesNewRoman" w:cs="TimesNewRoman" w:hint="eastAsia"/>
          <w:kern w:val="0"/>
          <w:sz w:val="32"/>
          <w:szCs w:val="32"/>
        </w:rPr>
        <w:t>31.8</w:t>
      </w:r>
      <w:r>
        <w:rPr>
          <w:rFonts w:ascii="TimesNewRoman" w:eastAsia="仿宋_GB2312" w:hAnsi="TimesNewRoman" w:cs="TimesNewRoman" w:hint="eastAsia"/>
          <w:kern w:val="0"/>
          <w:sz w:val="32"/>
          <w:szCs w:val="32"/>
        </w:rPr>
        <w:t>万元、公务员医疗补助缴费</w:t>
      </w:r>
      <w:r>
        <w:rPr>
          <w:rFonts w:ascii="TimesNewRoman" w:eastAsia="仿宋_GB2312" w:hAnsi="TimesNewRoman" w:cs="TimesNewRoman" w:hint="eastAsia"/>
          <w:kern w:val="0"/>
          <w:sz w:val="32"/>
          <w:szCs w:val="32"/>
        </w:rPr>
        <w:t>11.36</w:t>
      </w:r>
      <w:r>
        <w:rPr>
          <w:rFonts w:ascii="TimesNewRoman" w:eastAsia="仿宋_GB2312" w:hAnsi="TimesNewRoman" w:cs="TimesNewRoman" w:hint="eastAsia"/>
          <w:kern w:val="0"/>
          <w:sz w:val="32"/>
          <w:szCs w:val="32"/>
        </w:rPr>
        <w:t>万元、其他社会保障缴费</w:t>
      </w:r>
      <w:r>
        <w:rPr>
          <w:rFonts w:ascii="TimesNewRoman" w:eastAsia="仿宋_GB2312" w:hAnsi="TimesNewRoman" w:cs="TimesNewRoman" w:hint="eastAsia"/>
          <w:kern w:val="0"/>
          <w:sz w:val="32"/>
          <w:szCs w:val="32"/>
        </w:rPr>
        <w:t>2.65</w:t>
      </w:r>
      <w:r>
        <w:rPr>
          <w:rFonts w:ascii="TimesNewRoman" w:eastAsia="仿宋_GB2312" w:hAnsi="TimesNewRoman" w:cs="TimesNewRoman" w:hint="eastAsia"/>
          <w:kern w:val="0"/>
          <w:sz w:val="32"/>
          <w:szCs w:val="32"/>
        </w:rPr>
        <w:t>万元、事业单位离退休</w:t>
      </w:r>
      <w:r>
        <w:rPr>
          <w:rFonts w:ascii="TimesNewRoman" w:eastAsia="仿宋_GB2312" w:hAnsi="TimesNewRoman" w:cs="TimesNewRoman" w:hint="eastAsia"/>
          <w:kern w:val="0"/>
          <w:sz w:val="32"/>
          <w:szCs w:val="32"/>
        </w:rPr>
        <w:t>12.44</w:t>
      </w:r>
      <w:r>
        <w:rPr>
          <w:rFonts w:ascii="TimesNewRoman" w:eastAsia="仿宋_GB2312" w:hAnsi="TimesNewRoman" w:cs="TimesNewRoman" w:hint="eastAsia"/>
          <w:kern w:val="0"/>
          <w:sz w:val="32"/>
          <w:szCs w:val="32"/>
        </w:rPr>
        <w:t>万元、工会经费</w:t>
      </w:r>
      <w:r>
        <w:rPr>
          <w:rFonts w:ascii="TimesNewRoman" w:eastAsia="仿宋_GB2312" w:hAnsi="TimesNewRoman" w:cs="TimesNewRoman" w:hint="eastAsia"/>
          <w:kern w:val="0"/>
          <w:sz w:val="32"/>
          <w:szCs w:val="32"/>
        </w:rPr>
        <w:t>4.28</w:t>
      </w:r>
      <w:r>
        <w:rPr>
          <w:rFonts w:ascii="TimesNewRoman" w:eastAsia="仿宋_GB2312" w:hAnsi="TimesNewRoman" w:cs="TimesNewRoman" w:hint="eastAsia"/>
          <w:kern w:val="0"/>
          <w:sz w:val="32"/>
          <w:szCs w:val="32"/>
        </w:rPr>
        <w:t>万元、福利费</w:t>
      </w:r>
      <w:r>
        <w:rPr>
          <w:rFonts w:ascii="TimesNewRoman" w:eastAsia="仿宋_GB2312" w:hAnsi="TimesNewRoman" w:cs="TimesNewRoman" w:hint="eastAsia"/>
          <w:kern w:val="0"/>
          <w:sz w:val="32"/>
          <w:szCs w:val="32"/>
        </w:rPr>
        <w:t>0.2</w:t>
      </w:r>
      <w:r>
        <w:rPr>
          <w:rFonts w:ascii="TimesNewRoman" w:eastAsia="仿宋_GB2312" w:hAnsi="TimesNewRoman" w:cs="TimesNewRoman" w:hint="eastAsia"/>
          <w:kern w:val="0"/>
          <w:sz w:val="32"/>
          <w:szCs w:val="32"/>
        </w:rPr>
        <w:t>万元、住房公积金</w:t>
      </w:r>
      <w:r>
        <w:rPr>
          <w:rFonts w:ascii="TimesNewRoman" w:eastAsia="仿宋_GB2312" w:hAnsi="TimesNewRoman" w:cs="TimesNewRoman" w:hint="eastAsia"/>
          <w:kern w:val="0"/>
          <w:sz w:val="32"/>
          <w:szCs w:val="32"/>
        </w:rPr>
        <w:t>72.73</w:t>
      </w:r>
      <w:r>
        <w:rPr>
          <w:rFonts w:ascii="TimesNewRoman" w:eastAsia="仿宋_GB2312" w:hAnsi="TimesNewRoman" w:cs="TimesNewRoman" w:hint="eastAsia"/>
          <w:kern w:val="0"/>
          <w:sz w:val="32"/>
          <w:szCs w:val="32"/>
        </w:rPr>
        <w:t>万元、购房补贴</w:t>
      </w:r>
      <w:r>
        <w:rPr>
          <w:rFonts w:ascii="TimesNewRoman" w:eastAsia="仿宋_GB2312" w:hAnsi="TimesNewRoman" w:cs="TimesNewRoman" w:hint="eastAsia"/>
          <w:kern w:val="0"/>
          <w:sz w:val="32"/>
          <w:szCs w:val="32"/>
        </w:rPr>
        <w:t>30.3</w:t>
      </w:r>
      <w:r>
        <w:rPr>
          <w:rFonts w:ascii="TimesNewRoman" w:eastAsia="仿宋_GB2312" w:hAnsi="TimesNewRoman" w:cs="TimesNewRoman" w:hint="eastAsia"/>
          <w:kern w:val="0"/>
          <w:sz w:val="32"/>
          <w:szCs w:val="32"/>
        </w:rPr>
        <w:t>万元，办公费</w:t>
      </w:r>
      <w:r>
        <w:rPr>
          <w:rFonts w:ascii="TimesNewRoman" w:eastAsia="仿宋_GB2312" w:hAnsi="TimesNewRoman" w:cs="TimesNewRoman" w:hint="eastAsia"/>
          <w:kern w:val="0"/>
          <w:sz w:val="32"/>
          <w:szCs w:val="32"/>
        </w:rPr>
        <w:t>5.39</w:t>
      </w:r>
      <w:r>
        <w:rPr>
          <w:rFonts w:ascii="TimesNewRoman" w:eastAsia="仿宋_GB2312" w:hAnsi="TimesNewRoman" w:cs="TimesNewRoman" w:hint="eastAsia"/>
          <w:kern w:val="0"/>
          <w:sz w:val="32"/>
          <w:szCs w:val="32"/>
        </w:rPr>
        <w:t>万元、医疗费补助</w:t>
      </w:r>
      <w:r>
        <w:rPr>
          <w:rFonts w:ascii="TimesNewRoman" w:eastAsia="仿宋_GB2312" w:hAnsi="TimesNewRoman" w:cs="TimesNewRoman" w:hint="eastAsia"/>
          <w:kern w:val="0"/>
          <w:sz w:val="32"/>
          <w:szCs w:val="32"/>
        </w:rPr>
        <w:t>0.61</w:t>
      </w:r>
      <w:r>
        <w:rPr>
          <w:rFonts w:ascii="TimesNewRoman" w:eastAsia="仿宋_GB2312" w:hAnsi="TimesNewRoman" w:cs="TimesNewRoman" w:hint="eastAsia"/>
          <w:kern w:val="0"/>
          <w:sz w:val="32"/>
          <w:szCs w:val="32"/>
        </w:rPr>
        <w:t>万元、退休费</w:t>
      </w:r>
      <w:r>
        <w:rPr>
          <w:rFonts w:ascii="TimesNewRoman" w:eastAsia="仿宋_GB2312" w:hAnsi="TimesNewRoman" w:cs="TimesNewRoman" w:hint="eastAsia"/>
          <w:kern w:val="0"/>
          <w:sz w:val="32"/>
          <w:szCs w:val="32"/>
        </w:rPr>
        <w:t>13.91</w:t>
      </w:r>
      <w:r>
        <w:rPr>
          <w:rFonts w:ascii="TimesNewRoman" w:eastAsia="仿宋_GB2312" w:hAnsi="TimesNewRoman" w:cs="TimesNewRoman" w:hint="eastAsia"/>
          <w:kern w:val="0"/>
          <w:sz w:val="32"/>
          <w:szCs w:val="32"/>
        </w:rPr>
        <w:t>万元、生活补助</w:t>
      </w:r>
      <w:r>
        <w:rPr>
          <w:rFonts w:ascii="TimesNewRoman" w:eastAsia="仿宋_GB2312" w:hAnsi="TimesNewRoman" w:cs="TimesNewRoman" w:hint="eastAsia"/>
          <w:kern w:val="0"/>
          <w:sz w:val="32"/>
          <w:szCs w:val="32"/>
        </w:rPr>
        <w:t>1.62</w:t>
      </w:r>
      <w:r>
        <w:rPr>
          <w:rFonts w:ascii="TimesNewRoman" w:eastAsia="仿宋_GB2312" w:hAnsi="TimesNewRoman" w:cs="TimesNewRoman" w:hint="eastAsia"/>
          <w:kern w:val="0"/>
          <w:sz w:val="32"/>
          <w:szCs w:val="32"/>
        </w:rPr>
        <w:t>万元、对其他个人和家庭的补助</w:t>
      </w:r>
      <w:r>
        <w:rPr>
          <w:rFonts w:ascii="TimesNewRoman" w:eastAsia="仿宋_GB2312" w:hAnsi="TimesNewRoman" w:cs="TimesNewRoman" w:hint="eastAsia"/>
          <w:kern w:val="0"/>
          <w:sz w:val="32"/>
          <w:szCs w:val="32"/>
        </w:rPr>
        <w:t>0.21</w:t>
      </w:r>
      <w:r>
        <w:rPr>
          <w:rFonts w:ascii="TimesNewRoman" w:eastAsia="仿宋_GB2312" w:hAnsi="TimesNewRoman" w:cs="TimesNewRoman" w:hint="eastAsia"/>
          <w:kern w:val="0"/>
          <w:sz w:val="32"/>
          <w:szCs w:val="32"/>
        </w:rPr>
        <w:t>万元。</w:t>
      </w:r>
    </w:p>
    <w:p w:rsidR="00C207FF" w:rsidRDefault="001A75EE">
      <w:pPr>
        <w:ind w:firstLineChars="200" w:firstLine="643"/>
        <w:rPr>
          <w:rFonts w:ascii="TimesNewRoman" w:eastAsia="仿宋_GB2312" w:hAnsi="TimesNewRoman" w:cs="TimesNewRoman"/>
          <w:kern w:val="0"/>
          <w:sz w:val="32"/>
          <w:szCs w:val="32"/>
        </w:rPr>
      </w:pPr>
      <w:r>
        <w:rPr>
          <w:rFonts w:ascii="TimesNewRoman" w:eastAsia="仿宋_GB2312" w:hAnsi="TimesNewRoman" w:cs="TimesNewRoman" w:hint="eastAsia"/>
          <w:b/>
          <w:kern w:val="0"/>
          <w:sz w:val="32"/>
          <w:szCs w:val="32"/>
        </w:rPr>
        <w:lastRenderedPageBreak/>
        <w:t>（二）公用经费</w:t>
      </w:r>
      <w:r>
        <w:rPr>
          <w:rFonts w:ascii="TimesNewRoman" w:eastAsia="仿宋_GB2312" w:hAnsi="TimesNewRoman" w:cs="TimesNewRoman" w:hint="eastAsia"/>
          <w:b/>
          <w:kern w:val="0"/>
          <w:sz w:val="32"/>
          <w:szCs w:val="32"/>
        </w:rPr>
        <w:t>58.75</w:t>
      </w:r>
      <w:r>
        <w:rPr>
          <w:rFonts w:ascii="TimesNewRoman" w:eastAsia="仿宋_GB2312" w:hAnsi="TimesNewRoman" w:cs="TimesNewRoman" w:hint="eastAsia"/>
          <w:b/>
          <w:kern w:val="0"/>
          <w:sz w:val="32"/>
          <w:szCs w:val="32"/>
        </w:rPr>
        <w:t>万元，</w:t>
      </w:r>
      <w:r>
        <w:rPr>
          <w:rFonts w:ascii="TimesNewRoman" w:eastAsia="仿宋_GB2312" w:hAnsi="TimesNewRoman" w:cs="TimesNewRoman" w:hint="eastAsia"/>
          <w:kern w:val="0"/>
          <w:sz w:val="32"/>
          <w:szCs w:val="32"/>
        </w:rPr>
        <w:t>主要包括：办公费</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万元、印刷费</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、咨询费</w:t>
      </w:r>
      <w:r>
        <w:rPr>
          <w:rFonts w:ascii="TimesNewRoman" w:eastAsia="仿宋_GB2312" w:hAnsi="TimesNewRoman" w:cs="TimesNewRoman" w:hint="eastAsia"/>
          <w:kern w:val="0"/>
          <w:sz w:val="32"/>
          <w:szCs w:val="32"/>
        </w:rPr>
        <w:t>1.5</w:t>
      </w:r>
      <w:r>
        <w:rPr>
          <w:rFonts w:ascii="TimesNewRoman" w:eastAsia="仿宋_GB2312" w:hAnsi="TimesNewRoman" w:cs="TimesNewRoman" w:hint="eastAsia"/>
          <w:kern w:val="0"/>
          <w:sz w:val="32"/>
          <w:szCs w:val="32"/>
        </w:rPr>
        <w:t>万元，水费</w:t>
      </w:r>
      <w:r>
        <w:rPr>
          <w:rFonts w:ascii="TimesNewRoman" w:eastAsia="仿宋_GB2312" w:hAnsi="TimesNewRoman" w:cs="TimesNewRoman" w:hint="eastAsia"/>
          <w:kern w:val="0"/>
          <w:sz w:val="32"/>
          <w:szCs w:val="32"/>
        </w:rPr>
        <w:t>3.1</w:t>
      </w:r>
      <w:r>
        <w:rPr>
          <w:rFonts w:ascii="TimesNewRoman" w:eastAsia="仿宋_GB2312" w:hAnsi="TimesNewRoman" w:cs="TimesNewRoman" w:hint="eastAsia"/>
          <w:kern w:val="0"/>
          <w:sz w:val="32"/>
          <w:szCs w:val="32"/>
        </w:rPr>
        <w:t>万元、电费</w:t>
      </w:r>
      <w:r>
        <w:rPr>
          <w:rFonts w:ascii="TimesNewRoman" w:eastAsia="仿宋_GB2312" w:hAnsi="TimesNewRoman" w:cs="TimesNewRoman" w:hint="eastAsia"/>
          <w:kern w:val="0"/>
          <w:sz w:val="32"/>
          <w:szCs w:val="32"/>
        </w:rPr>
        <w:t>10</w:t>
      </w:r>
      <w:r>
        <w:rPr>
          <w:rFonts w:ascii="TimesNewRoman" w:eastAsia="仿宋_GB2312" w:hAnsi="TimesNewRoman" w:cs="TimesNewRoman" w:hint="eastAsia"/>
          <w:kern w:val="0"/>
          <w:sz w:val="32"/>
          <w:szCs w:val="32"/>
        </w:rPr>
        <w:t>万元、邮电费</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万元、物业管理费</w:t>
      </w:r>
      <w:r>
        <w:rPr>
          <w:rFonts w:ascii="TimesNewRoman" w:eastAsia="仿宋_GB2312" w:hAnsi="TimesNewRoman" w:cs="TimesNewRoman" w:hint="eastAsia"/>
          <w:kern w:val="0"/>
          <w:sz w:val="32"/>
          <w:szCs w:val="32"/>
        </w:rPr>
        <w:t>8</w:t>
      </w:r>
      <w:r>
        <w:rPr>
          <w:rFonts w:ascii="TimesNewRoman" w:eastAsia="仿宋_GB2312" w:hAnsi="TimesNewRoman" w:cs="TimesNewRoman" w:hint="eastAsia"/>
          <w:kern w:val="0"/>
          <w:sz w:val="32"/>
          <w:szCs w:val="32"/>
        </w:rPr>
        <w:t>万元、差旅费</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万元、维修（护）费</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、专用材料费</w:t>
      </w:r>
      <w:r>
        <w:rPr>
          <w:rFonts w:ascii="TimesNewRoman" w:eastAsia="仿宋_GB2312" w:hAnsi="TimesNewRoman" w:cs="TimesNewRoman" w:hint="eastAsia"/>
          <w:kern w:val="0"/>
          <w:sz w:val="32"/>
          <w:szCs w:val="32"/>
        </w:rPr>
        <w:t>10</w:t>
      </w:r>
      <w:r>
        <w:rPr>
          <w:rFonts w:ascii="TimesNewRoman" w:eastAsia="仿宋_GB2312" w:hAnsi="TimesNewRoman" w:cs="TimesNewRoman" w:hint="eastAsia"/>
          <w:kern w:val="0"/>
          <w:sz w:val="32"/>
          <w:szCs w:val="32"/>
        </w:rPr>
        <w:t>万元，公务用车运行维护费</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万元、其他交通费用</w:t>
      </w:r>
      <w:r>
        <w:rPr>
          <w:rFonts w:ascii="TimesNewRoman" w:eastAsia="仿宋_GB2312" w:hAnsi="TimesNewRoman" w:cs="TimesNewRoman" w:hint="eastAsia"/>
          <w:kern w:val="0"/>
          <w:sz w:val="32"/>
          <w:szCs w:val="32"/>
        </w:rPr>
        <w:t>5.15</w:t>
      </w:r>
      <w:r>
        <w:rPr>
          <w:rFonts w:ascii="TimesNewRoman" w:eastAsia="仿宋_GB2312" w:hAnsi="TimesNewRoman" w:cs="TimesNewRoman" w:hint="eastAsia"/>
          <w:kern w:val="0"/>
          <w:sz w:val="32"/>
          <w:szCs w:val="32"/>
        </w:rPr>
        <w:t>万元、其他商品服务支出</w:t>
      </w:r>
      <w:r>
        <w:rPr>
          <w:rFonts w:ascii="TimesNewRoman" w:eastAsia="仿宋_GB2312" w:hAnsi="TimesNewRoman" w:cs="TimesNewRoman" w:hint="eastAsia"/>
          <w:kern w:val="0"/>
          <w:sz w:val="32"/>
          <w:szCs w:val="32"/>
        </w:rPr>
        <w:t>10</w:t>
      </w:r>
      <w:r>
        <w:rPr>
          <w:rFonts w:ascii="TimesNewRoman" w:eastAsia="仿宋_GB2312" w:hAnsi="TimesNewRoman" w:cs="TimesNewRoman" w:hint="eastAsia"/>
          <w:kern w:val="0"/>
          <w:sz w:val="32"/>
          <w:szCs w:val="32"/>
        </w:rPr>
        <w:t>万元。</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七、关于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年政府性基金预算支出表的说明</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年没有政府性基金预算拨款收入，也没有使用政府性基金预算拨款安排的支出。</w:t>
      </w:r>
    </w:p>
    <w:p w:rsidR="00C207FF" w:rsidRDefault="00C207FF">
      <w:pPr>
        <w:ind w:firstLineChars="200" w:firstLine="640"/>
        <w:rPr>
          <w:rFonts w:ascii="TimesNewRoman" w:eastAsia="仿宋_GB2312" w:hAnsi="TimesNewRoman" w:cs="TimesNewRoman"/>
          <w:kern w:val="0"/>
          <w:sz w:val="32"/>
          <w:szCs w:val="32"/>
        </w:rPr>
      </w:pP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九、关于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年项目支出表的说明</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年预算共安排项目支出</w:t>
      </w:r>
      <w:r>
        <w:rPr>
          <w:rFonts w:ascii="TimesNewRoman" w:eastAsia="仿宋_GB2312" w:hAnsi="TimesNewRoman" w:cs="TimesNewRoman" w:hint="eastAsia"/>
          <w:kern w:val="0"/>
          <w:sz w:val="32"/>
          <w:szCs w:val="32"/>
        </w:rPr>
        <w:t>385.3</w:t>
      </w:r>
      <w:r>
        <w:rPr>
          <w:rFonts w:ascii="TimesNewRoman" w:eastAsia="仿宋_GB2312" w:hAnsi="TimesNewRoman" w:cs="TimesNewRoman" w:hint="eastAsia"/>
          <w:kern w:val="0"/>
          <w:sz w:val="32"/>
          <w:szCs w:val="32"/>
        </w:rPr>
        <w:t>万元，比</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年预算增加</w:t>
      </w:r>
      <w:r>
        <w:rPr>
          <w:rFonts w:ascii="TimesNewRoman" w:eastAsia="仿宋_GB2312" w:hAnsi="TimesNewRoman" w:cs="TimesNewRoman" w:hint="eastAsia"/>
          <w:kern w:val="0"/>
          <w:sz w:val="32"/>
          <w:szCs w:val="32"/>
        </w:rPr>
        <w:t>335.3</w:t>
      </w:r>
      <w:r>
        <w:rPr>
          <w:rFonts w:ascii="TimesNewRoman" w:eastAsia="仿宋_GB2312" w:hAnsi="TimesNewRoman" w:cs="TimesNewRoman" w:hint="eastAsia"/>
          <w:kern w:val="0"/>
          <w:sz w:val="32"/>
          <w:szCs w:val="32"/>
        </w:rPr>
        <w:t>万元，增长</w:t>
      </w:r>
      <w:r>
        <w:rPr>
          <w:rFonts w:ascii="TimesNewRoman" w:eastAsia="仿宋_GB2312" w:hAnsi="TimesNewRoman" w:cs="TimesNewRoman" w:hint="eastAsia"/>
          <w:kern w:val="0"/>
          <w:sz w:val="32"/>
          <w:szCs w:val="32"/>
        </w:rPr>
        <w:t>670.6%</w:t>
      </w:r>
      <w:r>
        <w:rPr>
          <w:rFonts w:ascii="TimesNewRoman" w:eastAsia="仿宋_GB2312" w:hAnsi="TimesNewRoman" w:cs="TimesNewRoman" w:hint="eastAsia"/>
          <w:kern w:val="0"/>
          <w:sz w:val="32"/>
          <w:szCs w:val="32"/>
        </w:rPr>
        <w:t>，原因主要是本年比去年增加了补交养老保险</w:t>
      </w:r>
      <w:r>
        <w:rPr>
          <w:rFonts w:ascii="TimesNewRoman" w:eastAsia="仿宋_GB2312" w:hAnsi="TimesNewRoman" w:cs="TimesNewRoman" w:hint="eastAsia"/>
          <w:kern w:val="0"/>
          <w:sz w:val="32"/>
          <w:szCs w:val="32"/>
        </w:rPr>
        <w:t>385.3</w:t>
      </w:r>
      <w:r>
        <w:rPr>
          <w:rFonts w:ascii="TimesNewRoman" w:eastAsia="仿宋_GB2312" w:hAnsi="TimesNewRoman" w:cs="TimesNewRoman" w:hint="eastAsia"/>
          <w:kern w:val="0"/>
          <w:sz w:val="32"/>
          <w:szCs w:val="32"/>
        </w:rPr>
        <w:t>万元，偿还日元贷款</w:t>
      </w:r>
      <w:r>
        <w:rPr>
          <w:rFonts w:ascii="TimesNewRoman" w:eastAsia="仿宋_GB2312" w:hAnsi="TimesNewRoman" w:cs="TimesNewRoman" w:hint="eastAsia"/>
          <w:kern w:val="0"/>
          <w:sz w:val="32"/>
          <w:szCs w:val="32"/>
        </w:rPr>
        <w:t>81</w:t>
      </w:r>
      <w:r>
        <w:rPr>
          <w:rFonts w:ascii="TimesNewRoman" w:eastAsia="仿宋_GB2312" w:hAnsi="TimesNewRoman" w:cs="TimesNewRoman" w:hint="eastAsia"/>
          <w:kern w:val="0"/>
          <w:sz w:val="32"/>
          <w:szCs w:val="32"/>
        </w:rPr>
        <w:t>万元。主要包括：本年财政拨款安排</w:t>
      </w:r>
      <w:r>
        <w:rPr>
          <w:rFonts w:ascii="TimesNewRoman" w:eastAsia="仿宋_GB2312" w:hAnsi="TimesNewRoman" w:cs="TimesNewRoman" w:hint="eastAsia"/>
          <w:kern w:val="0"/>
          <w:sz w:val="32"/>
          <w:szCs w:val="32"/>
        </w:rPr>
        <w:t>385.3</w:t>
      </w:r>
      <w:r>
        <w:rPr>
          <w:rFonts w:ascii="TimesNewRoman" w:eastAsia="仿宋_GB2312" w:hAnsi="TimesNewRoman" w:cs="TimesNewRoman" w:hint="eastAsia"/>
          <w:kern w:val="0"/>
          <w:sz w:val="32"/>
          <w:szCs w:val="32"/>
        </w:rPr>
        <w:t>万元（其中，一般公共预算拨款安排</w:t>
      </w:r>
      <w:r>
        <w:rPr>
          <w:rFonts w:ascii="TimesNewRoman" w:eastAsia="仿宋_GB2312" w:hAnsi="TimesNewRoman" w:cs="TimesNewRoman" w:hint="eastAsia"/>
          <w:kern w:val="0"/>
          <w:sz w:val="32"/>
          <w:szCs w:val="32"/>
        </w:rPr>
        <w:t>385.3</w:t>
      </w:r>
      <w:r>
        <w:rPr>
          <w:rFonts w:ascii="TimesNewRoman" w:eastAsia="仿宋_GB2312" w:hAnsi="TimesNewRoman" w:cs="TimesNewRoman" w:hint="eastAsia"/>
          <w:kern w:val="0"/>
          <w:sz w:val="32"/>
          <w:szCs w:val="32"/>
        </w:rPr>
        <w:t>万元）</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年政府采购支出表的说明</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年没有使用一般公共预算拨款、政府性基金预算拨款、国有资本经营预算拨款、财政专户管理资金和单位资金安排的政府采购支出。</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lastRenderedPageBreak/>
        <w:t>十一、关于</w:t>
      </w:r>
      <w:r>
        <w:rPr>
          <w:rFonts w:ascii="TimesNewRoman" w:eastAsia="黑体" w:hAnsi="TimesNewRoman" w:cs="TimesNewRoman" w:hint="eastAsia"/>
          <w:bCs/>
          <w:sz w:val="32"/>
          <w:szCs w:val="32"/>
        </w:rPr>
        <w:t>2023</w:t>
      </w:r>
      <w:r>
        <w:rPr>
          <w:rFonts w:ascii="TimesNewRoman" w:eastAsia="黑体" w:hAnsi="TimesNewRoman" w:cs="TimesNewRoman" w:hint="eastAsia"/>
          <w:bCs/>
          <w:sz w:val="32"/>
          <w:szCs w:val="32"/>
        </w:rPr>
        <w:t>年政府购买服务支出表的说明</w:t>
      </w:r>
    </w:p>
    <w:p w:rsidR="00C207FF" w:rsidRDefault="00C207FF">
      <w:pPr>
        <w:pStyle w:val="a3"/>
        <w:adjustRightInd w:val="0"/>
        <w:snapToGrid w:val="0"/>
        <w:spacing w:line="560" w:lineRule="exact"/>
        <w:ind w:firstLineChars="196" w:firstLine="627"/>
        <w:rPr>
          <w:rFonts w:ascii="TimesNewRoman" w:eastAsia="楷体_GB2312" w:hAnsi="TimesNewRoman" w:cs="TimesNewRoman"/>
          <w:color w:val="FF0000"/>
          <w:sz w:val="32"/>
          <w:szCs w:val="32"/>
        </w:rPr>
      </w:pP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年没有安排政府购买服务支出。</w:t>
      </w:r>
    </w:p>
    <w:p w:rsidR="00C207FF" w:rsidRDefault="001A75EE">
      <w:pPr>
        <w:pStyle w:val="a3"/>
        <w:adjustRightInd w:val="0"/>
        <w:snapToGrid w:val="0"/>
        <w:spacing w:line="560" w:lineRule="exact"/>
        <w:ind w:firstLineChars="196" w:firstLine="627"/>
        <w:rPr>
          <w:rFonts w:ascii="TimesNewRoman" w:eastAsia="黑体" w:hAnsi="TimesNewRoman" w:cs="TimesNewRoman"/>
          <w:bCs/>
          <w:sz w:val="32"/>
          <w:szCs w:val="32"/>
        </w:rPr>
      </w:pPr>
      <w:r>
        <w:rPr>
          <w:rFonts w:ascii="TimesNewRoman" w:eastAsia="黑体" w:hAnsi="TimesNewRoman" w:cs="TimesNewRoman" w:hint="eastAsia"/>
          <w:bCs/>
          <w:sz w:val="32"/>
          <w:szCs w:val="32"/>
        </w:rPr>
        <w:t>十二、其他重要事项情况说明</w:t>
      </w:r>
    </w:p>
    <w:p w:rsidR="00C207FF" w:rsidRDefault="001A75EE">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（一）项目及绩效目标情况。</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、“正常运转经费补助”项目。</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）项目概述。</w:t>
      </w:r>
    </w:p>
    <w:p w:rsidR="00C207FF" w:rsidRDefault="001A75EE">
      <w:pPr>
        <w:adjustRightInd w:val="0"/>
        <w:snapToGrid w:val="0"/>
        <w:spacing w:line="560" w:lineRule="exact"/>
        <w:ind w:firstLineChars="200" w:firstLine="640"/>
        <w:rPr>
          <w:rFonts w:ascii="TimesNewRoman" w:eastAsia="仿宋_GB2312" w:hAnsi="TimesNewRoman" w:cs="TimesNewRoman"/>
          <w:kern w:val="0"/>
          <w:sz w:val="32"/>
          <w:szCs w:val="32"/>
        </w:rPr>
      </w:pPr>
      <w:r>
        <w:rPr>
          <w:rFonts w:ascii="仿宋_GB2312" w:eastAsia="仿宋_GB2312" w:hAnsi="楷体" w:hint="eastAsia"/>
          <w:sz w:val="32"/>
          <w:szCs w:val="32"/>
        </w:rPr>
        <w:t>本项目主要用于维持淮北市传染病医院日常费用的支出及保障医院后勤及临床各科室的硬件、软件达到救治要求</w:t>
      </w:r>
      <w:r>
        <w:rPr>
          <w:rFonts w:ascii="TimesNewRoman" w:eastAsia="仿宋_GB2312" w:hAnsi="TimesNewRoman" w:cs="TimesNewRoman" w:hint="eastAsia"/>
          <w:kern w:val="0"/>
          <w:sz w:val="32"/>
          <w:szCs w:val="32"/>
        </w:rPr>
        <w:t>。</w:t>
      </w:r>
    </w:p>
    <w:p w:rsidR="00C207FF" w:rsidRDefault="001A75EE">
      <w:pPr>
        <w:numPr>
          <w:ilvl w:val="0"/>
          <w:numId w:val="2"/>
        </w:num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立项依据。</w:t>
      </w:r>
    </w:p>
    <w:p w:rsidR="00C207FF" w:rsidRDefault="001A75EE">
      <w:pPr>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 xml:space="preserve">    </w:t>
      </w:r>
      <w:r>
        <w:rPr>
          <w:rFonts w:ascii="TimesNewRoman" w:eastAsia="仿宋_GB2312" w:hAnsi="TimesNewRoman" w:cs="TimesNewRoman" w:hint="eastAsia"/>
          <w:kern w:val="0"/>
          <w:sz w:val="32"/>
          <w:szCs w:val="32"/>
        </w:rPr>
        <w:t>根据去年医院水电及其他维持医院运转的费用进行预算。</w:t>
      </w:r>
    </w:p>
    <w:p w:rsidR="00C207FF" w:rsidRDefault="001A75EE">
      <w:pPr>
        <w:numPr>
          <w:ilvl w:val="0"/>
          <w:numId w:val="2"/>
        </w:num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实施主体。</w:t>
      </w:r>
    </w:p>
    <w:p w:rsidR="00C207FF" w:rsidRDefault="001A75EE" w:rsidP="00F6424E">
      <w:pPr>
        <w:ind w:leftChars="200" w:left="420" w:firstLineChars="300" w:firstLine="96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淮北市传染病医院</w:t>
      </w:r>
    </w:p>
    <w:p w:rsidR="00C207FF" w:rsidRDefault="001A75EE">
      <w:pPr>
        <w:numPr>
          <w:ilvl w:val="0"/>
          <w:numId w:val="2"/>
        </w:num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起止时间。</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月至</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p>
    <w:p w:rsidR="00C207FF" w:rsidRDefault="001A75EE">
      <w:pPr>
        <w:numPr>
          <w:ilvl w:val="0"/>
          <w:numId w:val="2"/>
        </w:num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项目内容。</w:t>
      </w:r>
    </w:p>
    <w:p w:rsidR="00C207FF" w:rsidRDefault="001A75EE" w:rsidP="00F6424E">
      <w:pPr>
        <w:ind w:leftChars="200" w:left="420" w:firstLineChars="300" w:firstLine="96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正常运转经费补助</w:t>
      </w:r>
    </w:p>
    <w:p w:rsidR="00C207FF" w:rsidRDefault="001A75EE">
      <w:pPr>
        <w:adjustRightInd w:val="0"/>
        <w:snapToGrid w:val="0"/>
        <w:spacing w:line="560" w:lineRule="exact"/>
        <w:ind w:firstLineChars="200" w:firstLine="640"/>
        <w:rPr>
          <w:rFonts w:ascii="楷体_GB2312" w:eastAsia="楷体_GB2312" w:hAnsi="Times New Roman" w:cs="Times New Roman"/>
          <w:b/>
          <w:sz w:val="32"/>
          <w:szCs w:val="32"/>
        </w:rPr>
      </w:pPr>
      <w:r>
        <w:rPr>
          <w:rFonts w:ascii="TimesNewRoman" w:eastAsia="仿宋_GB2312" w:hAnsi="TimesNewRoman" w:cs="TimesNewRoman" w:hint="eastAsia"/>
          <w:kern w:val="0"/>
          <w:sz w:val="32"/>
          <w:szCs w:val="32"/>
        </w:rPr>
        <w:t>电费、物业管理费、维修（护）费、水费、其他商品和服务支出、办公费、印刷费、邮电费、差旅费、其他交通费。</w:t>
      </w:r>
    </w:p>
    <w:p w:rsidR="00C207FF" w:rsidRDefault="00C207FF">
      <w:pPr>
        <w:ind w:firstLineChars="400" w:firstLine="1280"/>
        <w:rPr>
          <w:rFonts w:ascii="TimesNewRoman" w:eastAsia="仿宋_GB2312" w:hAnsi="TimesNewRoman" w:cs="TimesNewRoman"/>
          <w:kern w:val="0"/>
          <w:sz w:val="32"/>
          <w:szCs w:val="32"/>
        </w:rPr>
      </w:pP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6</w:t>
      </w:r>
      <w:r>
        <w:rPr>
          <w:rFonts w:ascii="TimesNewRoman" w:eastAsia="仿宋_GB2312" w:hAnsi="TimesNewRoman" w:cs="TimesNewRoman" w:hint="eastAsia"/>
          <w:kern w:val="0"/>
          <w:sz w:val="32"/>
          <w:szCs w:val="32"/>
        </w:rPr>
        <w:t>）年度预算安排。</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44.8</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lastRenderedPageBreak/>
        <w:t>电费：</w:t>
      </w:r>
      <w:r>
        <w:rPr>
          <w:rFonts w:ascii="TimesNewRoman" w:eastAsia="仿宋_GB2312" w:hAnsi="TimesNewRoman" w:cs="TimesNewRoman" w:hint="eastAsia"/>
          <w:kern w:val="0"/>
          <w:sz w:val="32"/>
          <w:szCs w:val="32"/>
        </w:rPr>
        <w:t>9</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物业管理费：</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万元</w:t>
      </w:r>
      <w:r>
        <w:rPr>
          <w:rFonts w:ascii="TimesNewRoman" w:eastAsia="仿宋_GB2312" w:hAnsi="TimesNewRoman" w:cs="TimesNewRoman" w:hint="eastAsia"/>
          <w:kern w:val="0"/>
          <w:sz w:val="32"/>
          <w:szCs w:val="32"/>
        </w:rPr>
        <w:t xml:space="preserve"> </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维修（护）费：</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水费：</w:t>
      </w:r>
      <w:r>
        <w:rPr>
          <w:rFonts w:ascii="TimesNewRoman" w:eastAsia="仿宋_GB2312" w:hAnsi="TimesNewRoman" w:cs="TimesNewRoman" w:hint="eastAsia"/>
          <w:kern w:val="0"/>
          <w:sz w:val="32"/>
          <w:szCs w:val="32"/>
        </w:rPr>
        <w:t>2.42</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其他商品和服务支出：</w:t>
      </w:r>
      <w:r>
        <w:rPr>
          <w:rFonts w:ascii="TimesNewRoman" w:eastAsia="仿宋_GB2312" w:hAnsi="TimesNewRoman" w:cs="TimesNewRoman" w:hint="eastAsia"/>
          <w:kern w:val="0"/>
          <w:sz w:val="32"/>
          <w:szCs w:val="32"/>
        </w:rPr>
        <w:t>10.38</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办公费：</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印刷费：</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邮电费：</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差旅费：</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万元</w:t>
      </w:r>
    </w:p>
    <w:p w:rsidR="00C207FF" w:rsidRDefault="001A75EE">
      <w:pPr>
        <w:ind w:firstLineChars="400" w:firstLine="128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其他交通费：</w:t>
      </w:r>
      <w:r>
        <w:rPr>
          <w:rFonts w:ascii="TimesNewRoman" w:eastAsia="仿宋_GB2312" w:hAnsi="TimesNewRoman" w:cs="TimesNewRoman" w:hint="eastAsia"/>
          <w:kern w:val="0"/>
          <w:sz w:val="32"/>
          <w:szCs w:val="32"/>
        </w:rPr>
        <w:t>4</w:t>
      </w:r>
      <w:r>
        <w:rPr>
          <w:rFonts w:ascii="TimesNewRoman" w:eastAsia="仿宋_GB2312" w:hAnsi="TimesNewRoman" w:cs="TimesNewRoman" w:hint="eastAsia"/>
          <w:kern w:val="0"/>
          <w:sz w:val="32"/>
          <w:szCs w:val="32"/>
        </w:rPr>
        <w:t>万元</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w:t>
      </w:r>
      <w:r>
        <w:rPr>
          <w:rFonts w:ascii="TimesNewRoman" w:eastAsia="仿宋_GB2312" w:hAnsi="TimesNewRoman" w:cs="TimesNewRoman" w:hint="eastAsia"/>
          <w:kern w:val="0"/>
          <w:sz w:val="32"/>
          <w:szCs w:val="32"/>
        </w:rPr>
        <w:t>7</w:t>
      </w:r>
      <w:r>
        <w:rPr>
          <w:rFonts w:ascii="TimesNewRoman" w:eastAsia="仿宋_GB2312" w:hAnsi="TimesNewRoman" w:cs="TimesNewRoman" w:hint="eastAsia"/>
          <w:kern w:val="0"/>
          <w:sz w:val="32"/>
          <w:szCs w:val="32"/>
        </w:rPr>
        <w:t>）绩效目标。</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C207FF">
        <w:trPr>
          <w:trHeight w:val="253"/>
        </w:trPr>
        <w:tc>
          <w:tcPr>
            <w:tcW w:w="9020" w:type="dxa"/>
            <w:gridSpan w:val="7"/>
            <w:tcBorders>
              <w:top w:val="nil"/>
              <w:left w:val="nil"/>
              <w:bottom w:val="nil"/>
              <w:right w:val="nil"/>
            </w:tcBorders>
            <w:vAlign w:val="center"/>
          </w:tcPr>
          <w:p w:rsidR="00C207FF" w:rsidRDefault="001A75EE">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C207FF">
        <w:trPr>
          <w:trHeight w:val="270"/>
        </w:trPr>
        <w:tc>
          <w:tcPr>
            <w:tcW w:w="9020" w:type="dxa"/>
            <w:gridSpan w:val="7"/>
            <w:tcBorders>
              <w:top w:val="nil"/>
              <w:left w:val="nil"/>
              <w:right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 xml:space="preserve"> （2023年度）                                </w:t>
            </w:r>
          </w:p>
        </w:tc>
      </w:tr>
      <w:tr w:rsidR="00C207FF">
        <w:trPr>
          <w:trHeight w:val="330"/>
        </w:trPr>
        <w:tc>
          <w:tcPr>
            <w:tcW w:w="1443" w:type="dxa"/>
            <w:gridSpan w:val="3"/>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C207FF" w:rsidRDefault="001A75EE">
            <w:pPr>
              <w:jc w:val="center"/>
              <w:rPr>
                <w:rFonts w:ascii="宋体" w:cs="宋体"/>
                <w:sz w:val="20"/>
              </w:rPr>
            </w:pPr>
            <w:r>
              <w:rPr>
                <w:rFonts w:ascii="宋体" w:cs="宋体" w:hint="eastAsia"/>
                <w:sz w:val="20"/>
              </w:rPr>
              <w:t>正常运转经费补助</w:t>
            </w:r>
          </w:p>
        </w:tc>
      </w:tr>
      <w:tr w:rsidR="00C207FF">
        <w:trPr>
          <w:trHeight w:val="491"/>
        </w:trPr>
        <w:tc>
          <w:tcPr>
            <w:tcW w:w="1443" w:type="dxa"/>
            <w:gridSpan w:val="3"/>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C207FF" w:rsidRDefault="001A75EE">
            <w:pPr>
              <w:jc w:val="center"/>
              <w:rPr>
                <w:rFonts w:ascii="宋体" w:cs="宋体"/>
                <w:sz w:val="20"/>
              </w:rPr>
            </w:pPr>
            <w:r>
              <w:rPr>
                <w:rFonts w:ascii="宋体" w:cs="宋体" w:hint="eastAsia"/>
                <w:sz w:val="20"/>
              </w:rPr>
              <w:t>淮北市卫生健康委员会</w:t>
            </w:r>
          </w:p>
        </w:tc>
        <w:tc>
          <w:tcPr>
            <w:tcW w:w="1848" w:type="dxa"/>
            <w:tcBorders>
              <w:tl2br w:val="nil"/>
              <w:tr2bl w:val="nil"/>
            </w:tcBorders>
            <w:vAlign w:val="center"/>
          </w:tcPr>
          <w:p w:rsidR="00C207FF" w:rsidRDefault="001A75EE">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C207FF" w:rsidRDefault="001A75EE">
            <w:pPr>
              <w:jc w:val="center"/>
            </w:pPr>
            <w:r>
              <w:rPr>
                <w:rFonts w:hint="eastAsia"/>
              </w:rPr>
              <w:t>淮北市传染病医院</w:t>
            </w:r>
          </w:p>
        </w:tc>
      </w:tr>
      <w:tr w:rsidR="00C207FF">
        <w:trPr>
          <w:trHeight w:val="330"/>
        </w:trPr>
        <w:tc>
          <w:tcPr>
            <w:tcW w:w="1443" w:type="dxa"/>
            <w:gridSpan w:val="3"/>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C207FF" w:rsidRDefault="00C207FF">
            <w:pPr>
              <w:jc w:val="center"/>
              <w:rPr>
                <w:rFonts w:ascii="宋体" w:cs="宋体"/>
                <w:sz w:val="20"/>
              </w:rPr>
            </w:pPr>
          </w:p>
        </w:tc>
        <w:tc>
          <w:tcPr>
            <w:tcW w:w="1848" w:type="dxa"/>
            <w:tcBorders>
              <w:tl2br w:val="nil"/>
              <w:tr2bl w:val="nil"/>
            </w:tcBorders>
            <w:vAlign w:val="center"/>
          </w:tcPr>
          <w:p w:rsidR="00C207FF" w:rsidRDefault="001A75EE">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C207FF" w:rsidRDefault="001A75EE">
            <w:pPr>
              <w:jc w:val="center"/>
            </w:pPr>
            <w:r>
              <w:rPr>
                <w:rFonts w:hint="eastAsia"/>
              </w:rPr>
              <w:t>1</w:t>
            </w:r>
            <w:r>
              <w:rPr>
                <w:rFonts w:hint="eastAsia"/>
              </w:rPr>
              <w:t>年</w:t>
            </w:r>
          </w:p>
        </w:tc>
      </w:tr>
      <w:tr w:rsidR="00C207FF">
        <w:trPr>
          <w:trHeight w:val="330"/>
        </w:trPr>
        <w:tc>
          <w:tcPr>
            <w:tcW w:w="1443" w:type="dxa"/>
            <w:gridSpan w:val="3"/>
            <w:vMerge w:val="restart"/>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项目资金</w:t>
            </w:r>
            <w:r>
              <w:rPr>
                <w:rFonts w:ascii="宋体" w:eastAsia="宋体" w:hAnsi="宋体" w:cs="宋体" w:hint="eastAsia"/>
                <w:color w:val="000000"/>
                <w:kern w:val="0"/>
                <w:sz w:val="20"/>
                <w:szCs w:val="20"/>
              </w:rPr>
              <w:br/>
              <w:t>（万元）</w:t>
            </w:r>
          </w:p>
        </w:tc>
        <w:tc>
          <w:tcPr>
            <w:tcW w:w="3349" w:type="dxa"/>
            <w:gridSpan w:val="2"/>
            <w:tcBorders>
              <w:tl2br w:val="nil"/>
              <w:tr2bl w:val="nil"/>
            </w:tcBorders>
            <w:vAlign w:val="center"/>
          </w:tcPr>
          <w:p w:rsidR="00C207FF" w:rsidRDefault="001A75EE">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C207FF" w:rsidRDefault="001A75EE">
            <w:pPr>
              <w:jc w:val="right"/>
              <w:rPr>
                <w:rFonts w:ascii="宋体" w:cs="宋体"/>
                <w:sz w:val="20"/>
              </w:rPr>
            </w:pPr>
            <w:r>
              <w:rPr>
                <w:rFonts w:ascii="宋体" w:cs="宋体" w:hint="eastAsia"/>
                <w:sz w:val="20"/>
              </w:rPr>
              <w:t>44.8</w:t>
            </w:r>
          </w:p>
        </w:tc>
      </w:tr>
      <w:tr w:rsidR="00C207FF">
        <w:trPr>
          <w:trHeight w:val="330"/>
        </w:trPr>
        <w:tc>
          <w:tcPr>
            <w:tcW w:w="1443" w:type="dxa"/>
            <w:gridSpan w:val="3"/>
            <w:vMerge/>
            <w:tcBorders>
              <w:tl2br w:val="nil"/>
              <w:tr2bl w:val="nil"/>
            </w:tcBorders>
            <w:vAlign w:val="center"/>
          </w:tcPr>
          <w:p w:rsidR="00C207FF" w:rsidRDefault="00C207FF">
            <w:pPr>
              <w:jc w:val="center"/>
              <w:rPr>
                <w:rFonts w:ascii="宋体" w:cs="宋体"/>
                <w:sz w:val="20"/>
              </w:rPr>
            </w:pPr>
          </w:p>
        </w:tc>
        <w:tc>
          <w:tcPr>
            <w:tcW w:w="3349" w:type="dxa"/>
            <w:gridSpan w:val="2"/>
            <w:tcBorders>
              <w:tl2br w:val="nil"/>
              <w:tr2bl w:val="nil"/>
            </w:tcBorders>
            <w:vAlign w:val="center"/>
          </w:tcPr>
          <w:p w:rsidR="00C207FF" w:rsidRDefault="001A75EE">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C207FF" w:rsidRDefault="001A75EE">
            <w:pPr>
              <w:jc w:val="right"/>
              <w:rPr>
                <w:rFonts w:ascii="宋体" w:cs="宋体"/>
                <w:sz w:val="20"/>
              </w:rPr>
            </w:pPr>
            <w:r>
              <w:rPr>
                <w:rFonts w:ascii="宋体" w:cs="宋体" w:hint="eastAsia"/>
                <w:sz w:val="20"/>
              </w:rPr>
              <w:t>44.8</w:t>
            </w:r>
          </w:p>
        </w:tc>
      </w:tr>
      <w:tr w:rsidR="00C207FF">
        <w:trPr>
          <w:trHeight w:val="330"/>
        </w:trPr>
        <w:tc>
          <w:tcPr>
            <w:tcW w:w="1443" w:type="dxa"/>
            <w:gridSpan w:val="3"/>
            <w:vMerge/>
            <w:tcBorders>
              <w:tl2br w:val="nil"/>
              <w:tr2bl w:val="nil"/>
            </w:tcBorders>
            <w:vAlign w:val="center"/>
          </w:tcPr>
          <w:p w:rsidR="00C207FF" w:rsidRDefault="00C207FF">
            <w:pPr>
              <w:jc w:val="center"/>
              <w:rPr>
                <w:rFonts w:ascii="宋体" w:cs="宋体"/>
                <w:sz w:val="20"/>
              </w:rPr>
            </w:pPr>
          </w:p>
        </w:tc>
        <w:tc>
          <w:tcPr>
            <w:tcW w:w="3349" w:type="dxa"/>
            <w:gridSpan w:val="2"/>
            <w:tcBorders>
              <w:tl2br w:val="nil"/>
              <w:tr2bl w:val="nil"/>
            </w:tcBorders>
            <w:vAlign w:val="center"/>
          </w:tcPr>
          <w:p w:rsidR="00C207FF" w:rsidRDefault="001A75EE">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C207FF" w:rsidRDefault="001A75EE">
            <w:pPr>
              <w:jc w:val="center"/>
              <w:rPr>
                <w:rFonts w:ascii="宋体" w:cs="宋体"/>
                <w:sz w:val="20"/>
              </w:rPr>
            </w:pPr>
            <w:r>
              <w:rPr>
                <w:rFonts w:ascii="宋体" w:cs="宋体" w:hint="eastAsia"/>
                <w:sz w:val="20"/>
              </w:rPr>
              <w:t>0</w:t>
            </w:r>
          </w:p>
        </w:tc>
      </w:tr>
      <w:tr w:rsidR="00C207FF">
        <w:trPr>
          <w:trHeight w:val="330"/>
        </w:trPr>
        <w:tc>
          <w:tcPr>
            <w:tcW w:w="1443" w:type="dxa"/>
            <w:gridSpan w:val="3"/>
            <w:vMerge/>
            <w:tcBorders>
              <w:tl2br w:val="nil"/>
              <w:tr2bl w:val="nil"/>
            </w:tcBorders>
            <w:vAlign w:val="center"/>
          </w:tcPr>
          <w:p w:rsidR="00C207FF" w:rsidRDefault="00C207FF">
            <w:pPr>
              <w:jc w:val="center"/>
              <w:rPr>
                <w:rFonts w:ascii="宋体" w:cs="宋体"/>
                <w:sz w:val="20"/>
              </w:rPr>
            </w:pPr>
          </w:p>
        </w:tc>
        <w:tc>
          <w:tcPr>
            <w:tcW w:w="3349" w:type="dxa"/>
            <w:gridSpan w:val="2"/>
            <w:tcBorders>
              <w:tl2br w:val="nil"/>
              <w:tr2bl w:val="nil"/>
            </w:tcBorders>
            <w:vAlign w:val="center"/>
          </w:tcPr>
          <w:p w:rsidR="00C207FF" w:rsidRDefault="001A75EE">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C207FF" w:rsidRDefault="001A75EE">
            <w:pPr>
              <w:jc w:val="center"/>
              <w:rPr>
                <w:rFonts w:ascii="宋体" w:cs="宋体"/>
                <w:sz w:val="20"/>
              </w:rPr>
            </w:pPr>
            <w:r>
              <w:rPr>
                <w:rFonts w:ascii="宋体" w:cs="宋体" w:hint="eastAsia"/>
                <w:sz w:val="20"/>
              </w:rPr>
              <w:t>0</w:t>
            </w:r>
          </w:p>
        </w:tc>
      </w:tr>
      <w:tr w:rsidR="00C207FF">
        <w:trPr>
          <w:trHeight w:val="1015"/>
        </w:trPr>
        <w:tc>
          <w:tcPr>
            <w:tcW w:w="438" w:type="dxa"/>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年度</w:t>
            </w:r>
            <w:r>
              <w:rPr>
                <w:rFonts w:ascii="宋体" w:eastAsia="宋体" w:hAnsi="宋体" w:cs="宋体" w:hint="eastAsia"/>
                <w:color w:val="000000"/>
                <w:kern w:val="0"/>
                <w:sz w:val="20"/>
                <w:szCs w:val="20"/>
              </w:rPr>
              <w:br/>
              <w:t>目标</w:t>
            </w:r>
          </w:p>
        </w:tc>
        <w:tc>
          <w:tcPr>
            <w:tcW w:w="8582" w:type="dxa"/>
            <w:gridSpan w:val="6"/>
            <w:tcBorders>
              <w:tl2br w:val="nil"/>
              <w:tr2bl w:val="nil"/>
            </w:tcBorders>
            <w:vAlign w:val="center"/>
          </w:tcPr>
          <w:p w:rsidR="00C207FF" w:rsidRDefault="00C207FF">
            <w:pPr>
              <w:jc w:val="left"/>
              <w:rPr>
                <w:rFonts w:ascii="宋体" w:cs="宋体"/>
                <w:sz w:val="20"/>
              </w:rPr>
            </w:pPr>
          </w:p>
        </w:tc>
      </w:tr>
      <w:tr w:rsidR="00C207FF">
        <w:trPr>
          <w:trHeight w:val="508"/>
        </w:trPr>
        <w:tc>
          <w:tcPr>
            <w:tcW w:w="438" w:type="dxa"/>
            <w:vMerge w:val="restart"/>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绩</w:t>
            </w:r>
            <w:r>
              <w:rPr>
                <w:rFonts w:ascii="宋体" w:eastAsia="宋体" w:hAnsi="宋体" w:cs="宋体" w:hint="eastAsia"/>
                <w:color w:val="000000"/>
                <w:kern w:val="0"/>
                <w:sz w:val="20"/>
                <w:szCs w:val="20"/>
              </w:rPr>
              <w:br/>
              <w:t>效</w:t>
            </w:r>
            <w:r>
              <w:rPr>
                <w:rFonts w:ascii="宋体" w:eastAsia="宋体" w:hAnsi="宋体" w:cs="宋体" w:hint="eastAsia"/>
                <w:color w:val="000000"/>
                <w:kern w:val="0"/>
                <w:sz w:val="20"/>
                <w:szCs w:val="20"/>
              </w:rPr>
              <w:br/>
              <w:t>指</w:t>
            </w:r>
            <w:r>
              <w:rPr>
                <w:rFonts w:ascii="宋体" w:eastAsia="宋体" w:hAnsi="宋体" w:cs="宋体" w:hint="eastAsia"/>
                <w:color w:val="000000"/>
                <w:kern w:val="0"/>
                <w:sz w:val="20"/>
                <w:szCs w:val="20"/>
              </w:rPr>
              <w:br/>
              <w:t>标</w:t>
            </w:r>
          </w:p>
        </w:tc>
        <w:tc>
          <w:tcPr>
            <w:tcW w:w="723" w:type="dxa"/>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一级</w:t>
            </w:r>
            <w:r>
              <w:rPr>
                <w:rFonts w:ascii="宋体" w:eastAsia="宋体" w:hAnsi="宋体" w:cs="宋体" w:hint="eastAsia"/>
                <w:color w:val="000000"/>
                <w:kern w:val="0"/>
                <w:sz w:val="20"/>
                <w:szCs w:val="20"/>
              </w:rPr>
              <w:br/>
              <w:t>指标</w:t>
            </w:r>
          </w:p>
        </w:tc>
        <w:tc>
          <w:tcPr>
            <w:tcW w:w="759" w:type="dxa"/>
            <w:gridSpan w:val="2"/>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val="restart"/>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vMerge w:val="restart"/>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宋体" w:eastAsia="宋体" w:hAnsi="宋体" w:cs="宋体" w:hint="eastAsia"/>
                <w:color w:val="000000"/>
                <w:kern w:val="0"/>
                <w:sz w:val="20"/>
                <w:szCs w:val="20"/>
              </w:rPr>
              <w:t>指标1：依据医院实际发生费用完成支付</w:t>
            </w:r>
          </w:p>
        </w:tc>
        <w:tc>
          <w:tcPr>
            <w:tcW w:w="4228" w:type="dxa"/>
            <w:gridSpan w:val="2"/>
            <w:tcBorders>
              <w:tl2br w:val="nil"/>
              <w:tr2bl w:val="nil"/>
            </w:tcBorders>
            <w:vAlign w:val="center"/>
          </w:tcPr>
          <w:p w:rsidR="00C207FF" w:rsidRDefault="001A75EE">
            <w:pPr>
              <w:jc w:val="center"/>
              <w:rPr>
                <w:rFonts w:ascii="宋体" w:cs="宋体"/>
                <w:sz w:val="20"/>
              </w:rPr>
            </w:pPr>
            <w:r>
              <w:rPr>
                <w:rFonts w:ascii="宋体" w:cs="宋体" w:hint="eastAsia"/>
                <w:sz w:val="20"/>
              </w:rPr>
              <w:t>完成</w:t>
            </w: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tcBorders>
              <w:tl2br w:val="nil"/>
              <w:tr2bl w:val="nil"/>
            </w:tcBorders>
            <w:vAlign w:val="center"/>
          </w:tcPr>
          <w:p w:rsidR="00C207FF" w:rsidRDefault="00C207FF">
            <w:pPr>
              <w:jc w:val="center"/>
              <w:rPr>
                <w:rFonts w:ascii="宋体" w:cs="宋体"/>
                <w:sz w:val="20"/>
              </w:rPr>
            </w:pP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val="restart"/>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宋体" w:eastAsia="宋体" w:hAnsi="宋体" w:cs="宋体" w:hint="eastAsia"/>
                <w:color w:val="000000"/>
                <w:kern w:val="0"/>
                <w:sz w:val="20"/>
                <w:szCs w:val="20"/>
              </w:rPr>
              <w:t>指标1：维持传染病医院日常工作正常开展</w:t>
            </w:r>
          </w:p>
        </w:tc>
        <w:tc>
          <w:tcPr>
            <w:tcW w:w="4228" w:type="dxa"/>
            <w:gridSpan w:val="2"/>
            <w:tcBorders>
              <w:tl2br w:val="nil"/>
              <w:tr2bl w:val="nil"/>
            </w:tcBorders>
            <w:vAlign w:val="center"/>
          </w:tcPr>
          <w:p w:rsidR="00C207FF" w:rsidRDefault="001A75EE">
            <w:pPr>
              <w:jc w:val="center"/>
              <w:rPr>
                <w:rFonts w:ascii="宋体" w:cs="宋体"/>
                <w:sz w:val="20"/>
              </w:rPr>
            </w:pPr>
            <w:r>
              <w:rPr>
                <w:rFonts w:ascii="宋体" w:cs="宋体" w:hint="eastAsia"/>
                <w:sz w:val="20"/>
              </w:rPr>
              <w:t>传染病院工作有序开展</w:t>
            </w: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tcBorders>
              <w:tl2br w:val="nil"/>
              <w:tr2bl w:val="nil"/>
            </w:tcBorders>
            <w:vAlign w:val="center"/>
          </w:tcPr>
          <w:p w:rsidR="00C207FF" w:rsidRDefault="00C207FF">
            <w:pPr>
              <w:jc w:val="center"/>
              <w:rPr>
                <w:rFonts w:ascii="宋体" w:cs="宋体"/>
                <w:sz w:val="20"/>
              </w:rPr>
            </w:pP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val="restart"/>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C207FF" w:rsidRDefault="001A75EE">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指标1：按序时进度完成支付</w:t>
            </w:r>
          </w:p>
        </w:tc>
        <w:tc>
          <w:tcPr>
            <w:tcW w:w="4228" w:type="dxa"/>
            <w:gridSpan w:val="2"/>
            <w:tcBorders>
              <w:tl2br w:val="nil"/>
              <w:tr2bl w:val="nil"/>
            </w:tcBorders>
            <w:vAlign w:val="center"/>
          </w:tcPr>
          <w:p w:rsidR="00C207FF" w:rsidRDefault="001A75EE">
            <w:pPr>
              <w:jc w:val="center"/>
              <w:rPr>
                <w:rFonts w:ascii="宋体" w:cs="宋体"/>
                <w:sz w:val="20"/>
              </w:rPr>
            </w:pPr>
            <w:r>
              <w:rPr>
                <w:rFonts w:ascii="宋体" w:cs="宋体" w:hint="eastAsia"/>
                <w:sz w:val="20"/>
              </w:rPr>
              <w:t>完成</w:t>
            </w: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tcBorders>
              <w:tl2br w:val="nil"/>
              <w:tr2bl w:val="nil"/>
            </w:tcBorders>
            <w:vAlign w:val="center"/>
          </w:tcPr>
          <w:p w:rsidR="00C207FF" w:rsidRDefault="00C207FF">
            <w:pPr>
              <w:jc w:val="center"/>
              <w:rPr>
                <w:rFonts w:ascii="宋体" w:cs="宋体"/>
                <w:sz w:val="20"/>
              </w:rPr>
            </w:pP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val="restart"/>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tcBorders>
              <w:tl2br w:val="nil"/>
              <w:tr2bl w:val="nil"/>
            </w:tcBorders>
            <w:vAlign w:val="center"/>
          </w:tcPr>
          <w:p w:rsidR="00C207FF" w:rsidRDefault="00C207FF">
            <w:pPr>
              <w:jc w:val="center"/>
              <w:rPr>
                <w:rFonts w:ascii="宋体" w:cs="宋体"/>
                <w:sz w:val="20"/>
              </w:rPr>
            </w:pP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w:t>
            </w:r>
          </w:p>
        </w:tc>
        <w:tc>
          <w:tcPr>
            <w:tcW w:w="2872" w:type="dxa"/>
            <w:tcBorders>
              <w:tl2br w:val="nil"/>
              <w:tr2bl w:val="nil"/>
            </w:tcBorders>
            <w:vAlign w:val="center"/>
          </w:tcPr>
          <w:p w:rsidR="00C207FF" w:rsidRDefault="00C207FF">
            <w:pPr>
              <w:jc w:val="left"/>
              <w:rPr>
                <w:rFonts w:ascii="宋体" w:cs="宋体"/>
                <w:sz w:val="20"/>
              </w:rPr>
            </w:pP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val="restart"/>
            <w:tcBorders>
              <w:tl2br w:val="nil"/>
              <w:tr2bl w:val="nil"/>
            </w:tcBorders>
            <w:vAlign w:val="center"/>
          </w:tcPr>
          <w:p w:rsidR="00C207FF" w:rsidRDefault="001A75EE">
            <w:pPr>
              <w:widowControl/>
              <w:jc w:val="center"/>
              <w:textAlignment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vMerge w:val="restart"/>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tcBorders>
              <w:tl2br w:val="nil"/>
              <w:tr2bl w:val="nil"/>
            </w:tcBorders>
            <w:vAlign w:val="center"/>
          </w:tcPr>
          <w:p w:rsidR="00C207FF" w:rsidRDefault="00C207FF">
            <w:pPr>
              <w:jc w:val="center"/>
              <w:rPr>
                <w:rFonts w:ascii="宋体" w:cs="宋体"/>
                <w:sz w:val="20"/>
              </w:rPr>
            </w:pP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val="restart"/>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C207FF" w:rsidRDefault="001A75EE">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tcBorders>
              <w:tl2br w:val="nil"/>
              <w:tr2bl w:val="nil"/>
            </w:tcBorders>
            <w:vAlign w:val="center"/>
          </w:tcPr>
          <w:p w:rsidR="00C207FF" w:rsidRDefault="00C207FF">
            <w:pPr>
              <w:jc w:val="center"/>
              <w:rPr>
                <w:rFonts w:ascii="宋体" w:cs="宋体"/>
                <w:sz w:val="20"/>
              </w:rPr>
            </w:pPr>
          </w:p>
        </w:tc>
        <w:tc>
          <w:tcPr>
            <w:tcW w:w="2872" w:type="dxa"/>
            <w:tcBorders>
              <w:tl2br w:val="nil"/>
              <w:tr2bl w:val="nil"/>
            </w:tcBorders>
            <w:vAlign w:val="center"/>
          </w:tcPr>
          <w:p w:rsidR="00C207FF" w:rsidRDefault="001A75EE">
            <w:pPr>
              <w:widowControl/>
              <w:jc w:val="left"/>
              <w:textAlignment w:val="center"/>
              <w:rPr>
                <w:rFonts w:ascii="宋体" w:cs="宋体"/>
                <w:sz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val="restart"/>
            <w:tcBorders>
              <w:tl2br w:val="nil"/>
              <w:tr2bl w:val="nil"/>
            </w:tcBorders>
            <w:vAlign w:val="center"/>
          </w:tcPr>
          <w:p w:rsidR="00C207FF" w:rsidRDefault="001A75E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C207FF" w:rsidRDefault="001A75EE">
            <w:pPr>
              <w:widowControl/>
              <w:jc w:val="left"/>
              <w:textAlignment w:val="center"/>
              <w:rPr>
                <w:rFonts w:ascii="宋体" w:eastAsia="宋体" w:cs="宋体"/>
                <w:sz w:val="20"/>
              </w:rPr>
            </w:pPr>
            <w:r>
              <w:rPr>
                <w:rFonts w:ascii="宋体" w:eastAsia="宋体" w:hAnsi="宋体" w:cs="宋体" w:hint="eastAsia"/>
                <w:color w:val="000000"/>
                <w:kern w:val="0"/>
                <w:sz w:val="20"/>
                <w:szCs w:val="20"/>
              </w:rPr>
              <w:t>指标1：控制支出，节省耗能</w:t>
            </w:r>
          </w:p>
        </w:tc>
        <w:tc>
          <w:tcPr>
            <w:tcW w:w="4228" w:type="dxa"/>
            <w:gridSpan w:val="2"/>
            <w:tcBorders>
              <w:tl2br w:val="nil"/>
              <w:tr2bl w:val="nil"/>
            </w:tcBorders>
            <w:vAlign w:val="center"/>
          </w:tcPr>
          <w:p w:rsidR="00C207FF" w:rsidRDefault="001A75EE">
            <w:pPr>
              <w:jc w:val="center"/>
              <w:rPr>
                <w:rFonts w:ascii="宋体" w:cs="宋体"/>
                <w:sz w:val="20"/>
              </w:rPr>
            </w:pPr>
            <w:r>
              <w:rPr>
                <w:rFonts w:ascii="宋体" w:cs="宋体" w:hint="eastAsia"/>
                <w:sz w:val="20"/>
              </w:rPr>
              <w:t>节约水电</w:t>
            </w: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tcBorders>
              <w:tl2br w:val="nil"/>
              <w:tr2bl w:val="nil"/>
            </w:tcBorders>
            <w:vAlign w:val="center"/>
          </w:tcPr>
          <w:p w:rsidR="00C207FF" w:rsidRDefault="00C207FF">
            <w:pPr>
              <w:jc w:val="center"/>
              <w:rPr>
                <w:rFonts w:ascii="宋体" w:cs="宋体"/>
                <w:sz w:val="20"/>
              </w:rPr>
            </w:pPr>
          </w:p>
        </w:tc>
        <w:tc>
          <w:tcPr>
            <w:tcW w:w="2872" w:type="dxa"/>
            <w:tcBorders>
              <w:tl2br w:val="nil"/>
              <w:tr2bl w:val="nil"/>
            </w:tcBorders>
            <w:vAlign w:val="center"/>
          </w:tcPr>
          <w:p w:rsidR="00C207FF" w:rsidRDefault="001A75EE">
            <w:pPr>
              <w:widowControl/>
              <w:jc w:val="left"/>
              <w:textAlignment w:val="center"/>
              <w:rPr>
                <w:rFonts w:ascii="汉仪中秀体简" w:eastAsia="汉仪中秀体简" w:hAnsi="汉仪中秀体简" w:cs="汉仪中秀体简"/>
                <w:color w:val="000000"/>
                <w:kern w:val="0"/>
                <w:sz w:val="20"/>
                <w:szCs w:val="20"/>
              </w:rPr>
            </w:pPr>
            <w:r>
              <w:rPr>
                <w:rFonts w:ascii="汉仪中秀体简" w:eastAsia="汉仪中秀体简" w:hAnsi="汉仪中秀体简" w:cs="汉仪中秀体简"/>
                <w:color w:val="000000"/>
                <w:kern w:val="0"/>
                <w:sz w:val="20"/>
                <w:szCs w:val="20"/>
              </w:rPr>
              <w:t>…</w:t>
            </w:r>
          </w:p>
        </w:tc>
        <w:tc>
          <w:tcPr>
            <w:tcW w:w="4228" w:type="dxa"/>
            <w:gridSpan w:val="2"/>
            <w:tcBorders>
              <w:tl2br w:val="nil"/>
              <w:tr2bl w:val="nil"/>
            </w:tcBorders>
            <w:vAlign w:val="center"/>
          </w:tcPr>
          <w:p w:rsidR="00C207FF" w:rsidRDefault="00C207FF">
            <w:pPr>
              <w:widowControl/>
              <w:jc w:val="left"/>
              <w:textAlignment w:val="center"/>
              <w:rPr>
                <w:rFonts w:ascii="汉仪中秀体简" w:eastAsia="汉仪中秀体简" w:hAnsi="汉仪中秀体简" w:cs="汉仪中秀体简"/>
                <w:color w:val="000000"/>
                <w:kern w:val="0"/>
                <w:sz w:val="20"/>
                <w:szCs w:val="20"/>
              </w:rPr>
            </w:pPr>
          </w:p>
        </w:tc>
      </w:tr>
      <w:tr w:rsidR="00C207FF">
        <w:trPr>
          <w:trHeight w:val="420"/>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val="restart"/>
            <w:tcBorders>
              <w:tl2br w:val="nil"/>
              <w:tr2bl w:val="nil"/>
            </w:tcBorders>
            <w:vAlign w:val="center"/>
          </w:tcPr>
          <w:p w:rsidR="00C207FF" w:rsidRDefault="001A75EE">
            <w:pPr>
              <w:widowControl/>
              <w:spacing w:line="200" w:lineRule="exact"/>
              <w:jc w:val="center"/>
              <w:rPr>
                <w:rFonts w:ascii="宋体" w:eastAsia="宋体" w:hAnsi="宋体" w:cs="宋体"/>
                <w:sz w:val="20"/>
              </w:rPr>
            </w:pPr>
            <w:r>
              <w:rPr>
                <w:rFonts w:ascii="宋体" w:eastAsia="宋体" w:hAnsi="宋体" w:cs="宋体" w:hint="eastAsia"/>
                <w:sz w:val="20"/>
              </w:rPr>
              <w:t>可持续影响指标</w:t>
            </w:r>
          </w:p>
        </w:tc>
        <w:tc>
          <w:tcPr>
            <w:tcW w:w="2872" w:type="dxa"/>
            <w:tcBorders>
              <w:tl2br w:val="nil"/>
              <w:tr2bl w:val="nil"/>
            </w:tcBorders>
            <w:vAlign w:val="center"/>
          </w:tcPr>
          <w:p w:rsidR="00C207FF" w:rsidRDefault="001A75EE">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444"/>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vMerge/>
            <w:tcBorders>
              <w:tl2br w:val="nil"/>
              <w:tr2bl w:val="nil"/>
            </w:tcBorders>
            <w:vAlign w:val="center"/>
          </w:tcPr>
          <w:p w:rsidR="00C207FF" w:rsidRDefault="00C207FF">
            <w:pPr>
              <w:jc w:val="center"/>
              <w:rPr>
                <w:rFonts w:ascii="宋体" w:eastAsia="宋体" w:hAnsi="宋体" w:cs="宋体"/>
                <w:sz w:val="20"/>
              </w:rPr>
            </w:pPr>
          </w:p>
        </w:tc>
        <w:tc>
          <w:tcPr>
            <w:tcW w:w="2872" w:type="dxa"/>
            <w:tcBorders>
              <w:tl2br w:val="nil"/>
              <w:tr2bl w:val="nil"/>
            </w:tcBorders>
            <w:vAlign w:val="center"/>
          </w:tcPr>
          <w:p w:rsidR="00C207FF" w:rsidRDefault="001A75E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cs="宋体"/>
                <w:sz w:val="20"/>
              </w:rPr>
            </w:pPr>
          </w:p>
        </w:tc>
        <w:tc>
          <w:tcPr>
            <w:tcW w:w="759" w:type="dxa"/>
            <w:gridSpan w:val="2"/>
            <w:tcBorders>
              <w:tl2br w:val="nil"/>
              <w:tr2bl w:val="nil"/>
            </w:tcBorders>
            <w:vAlign w:val="center"/>
          </w:tcPr>
          <w:p w:rsidR="00C207FF" w:rsidRDefault="001A75EE">
            <w:pPr>
              <w:jc w:val="center"/>
              <w:rPr>
                <w:rFonts w:ascii="宋体" w:eastAsia="宋体" w:hAnsi="宋体" w:cs="宋体"/>
                <w:sz w:val="20"/>
              </w:rPr>
            </w:pPr>
            <w:r>
              <w:rPr>
                <w:rFonts w:ascii="宋体" w:eastAsia="宋体" w:hAnsi="宋体" w:cs="宋体" w:hint="eastAsia"/>
                <w:color w:val="000000"/>
                <w:kern w:val="0"/>
                <w:sz w:val="20"/>
                <w:szCs w:val="20"/>
              </w:rPr>
              <w:t>…</w:t>
            </w:r>
          </w:p>
        </w:tc>
        <w:tc>
          <w:tcPr>
            <w:tcW w:w="2872" w:type="dxa"/>
            <w:tcBorders>
              <w:tl2br w:val="nil"/>
              <w:tr2bl w:val="nil"/>
            </w:tcBorders>
            <w:vAlign w:val="center"/>
          </w:tcPr>
          <w:p w:rsidR="00C207FF" w:rsidRDefault="00C207FF">
            <w:pPr>
              <w:widowControl/>
              <w:jc w:val="left"/>
              <w:textAlignment w:val="center"/>
              <w:rPr>
                <w:rFonts w:ascii="宋体" w:eastAsia="宋体" w:hAnsi="宋体" w:cs="宋体"/>
                <w:color w:val="000000"/>
                <w:kern w:val="0"/>
                <w:sz w:val="20"/>
                <w:szCs w:val="20"/>
              </w:rPr>
            </w:pPr>
          </w:p>
        </w:tc>
        <w:tc>
          <w:tcPr>
            <w:tcW w:w="4228" w:type="dxa"/>
            <w:gridSpan w:val="2"/>
            <w:tcBorders>
              <w:tl2br w:val="nil"/>
              <w:tr2bl w:val="nil"/>
            </w:tcBorders>
            <w:vAlign w:val="center"/>
          </w:tcPr>
          <w:p w:rsidR="00C207FF" w:rsidRDefault="00C207FF">
            <w:pPr>
              <w:jc w:val="center"/>
              <w:rPr>
                <w:rFonts w:ascii="宋体" w:cs="宋体"/>
                <w:sz w:val="20"/>
              </w:rPr>
            </w:pP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val="restart"/>
            <w:tcBorders>
              <w:tl2br w:val="nil"/>
              <w:tr2bl w:val="nil"/>
            </w:tcBorders>
            <w:vAlign w:val="center"/>
          </w:tcPr>
          <w:p w:rsidR="00C207FF" w:rsidRDefault="001A75EE">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759" w:type="dxa"/>
            <w:gridSpan w:val="2"/>
            <w:vMerge w:val="restart"/>
            <w:tcBorders>
              <w:tl2br w:val="nil"/>
              <w:tr2bl w:val="nil"/>
            </w:tcBorders>
            <w:vAlign w:val="center"/>
          </w:tcPr>
          <w:p w:rsidR="00C207FF" w:rsidRDefault="001A75EE">
            <w:pPr>
              <w:widowControl/>
              <w:spacing w:line="200" w:lineRule="exact"/>
              <w:jc w:val="center"/>
              <w:rPr>
                <w:rFonts w:ascii="宋体" w:eastAsia="宋体" w:hAnsi="宋体" w:cs="宋体"/>
                <w:sz w:val="20"/>
              </w:rPr>
            </w:pPr>
            <w:r>
              <w:rPr>
                <w:rFonts w:ascii="宋体" w:eastAsia="宋体" w:hAnsi="宋体" w:cs="宋体" w:hint="eastAsia"/>
                <w:sz w:val="20"/>
              </w:rPr>
              <w:t>满意度指标</w:t>
            </w:r>
          </w:p>
        </w:tc>
        <w:tc>
          <w:tcPr>
            <w:tcW w:w="2872" w:type="dxa"/>
            <w:tcBorders>
              <w:tl2br w:val="nil"/>
              <w:tr2bl w:val="nil"/>
            </w:tcBorders>
            <w:vAlign w:val="center"/>
          </w:tcPr>
          <w:p w:rsidR="00C207FF" w:rsidRDefault="001A75EE">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指标1：提升患者及职工对医院满意度</w:t>
            </w:r>
          </w:p>
        </w:tc>
        <w:tc>
          <w:tcPr>
            <w:tcW w:w="4228" w:type="dxa"/>
            <w:gridSpan w:val="2"/>
            <w:tcBorders>
              <w:tl2br w:val="nil"/>
              <w:tr2bl w:val="nil"/>
            </w:tcBorders>
            <w:vAlign w:val="center"/>
          </w:tcPr>
          <w:p w:rsidR="00C207FF" w:rsidRDefault="001A75EE">
            <w:pPr>
              <w:jc w:val="center"/>
              <w:rPr>
                <w:rFonts w:ascii="宋体" w:cs="宋体"/>
                <w:sz w:val="20"/>
              </w:rPr>
            </w:pPr>
            <w:r>
              <w:rPr>
                <w:rFonts w:ascii="宋体" w:cs="宋体" w:hint="eastAsia"/>
                <w:sz w:val="20"/>
              </w:rPr>
              <w:t>提升</w:t>
            </w:r>
          </w:p>
        </w:tc>
      </w:tr>
      <w:tr w:rsidR="00C207FF">
        <w:trPr>
          <w:trHeight w:val="363"/>
        </w:trPr>
        <w:tc>
          <w:tcPr>
            <w:tcW w:w="438" w:type="dxa"/>
            <w:vMerge/>
            <w:tcBorders>
              <w:tl2br w:val="nil"/>
              <w:tr2bl w:val="nil"/>
            </w:tcBorders>
            <w:vAlign w:val="center"/>
          </w:tcPr>
          <w:p w:rsidR="00C207FF" w:rsidRDefault="00C207FF">
            <w:pPr>
              <w:jc w:val="center"/>
              <w:rPr>
                <w:rFonts w:ascii="宋体" w:cs="宋体"/>
                <w:sz w:val="20"/>
              </w:rPr>
            </w:pPr>
          </w:p>
        </w:tc>
        <w:tc>
          <w:tcPr>
            <w:tcW w:w="723" w:type="dxa"/>
            <w:vMerge/>
            <w:tcBorders>
              <w:tl2br w:val="nil"/>
              <w:tr2bl w:val="nil"/>
            </w:tcBorders>
            <w:vAlign w:val="center"/>
          </w:tcPr>
          <w:p w:rsidR="00C207FF" w:rsidRDefault="00C207FF">
            <w:pPr>
              <w:jc w:val="center"/>
              <w:rPr>
                <w:rFonts w:ascii="宋体" w:eastAsia="宋体" w:hAnsi="宋体" w:cs="宋体"/>
                <w:sz w:val="20"/>
              </w:rPr>
            </w:pPr>
          </w:p>
        </w:tc>
        <w:tc>
          <w:tcPr>
            <w:tcW w:w="759" w:type="dxa"/>
            <w:gridSpan w:val="2"/>
            <w:vMerge/>
            <w:tcBorders>
              <w:tl2br w:val="nil"/>
              <w:tr2bl w:val="nil"/>
            </w:tcBorders>
            <w:vAlign w:val="center"/>
          </w:tcPr>
          <w:p w:rsidR="00C207FF" w:rsidRDefault="00C207FF">
            <w:pPr>
              <w:jc w:val="center"/>
              <w:rPr>
                <w:rFonts w:ascii="宋体" w:eastAsia="宋体" w:hAnsi="宋体" w:cs="宋体"/>
                <w:sz w:val="20"/>
              </w:rPr>
            </w:pPr>
          </w:p>
        </w:tc>
        <w:tc>
          <w:tcPr>
            <w:tcW w:w="2872" w:type="dxa"/>
            <w:tcBorders>
              <w:tl2br w:val="nil"/>
              <w:tr2bl w:val="nil"/>
            </w:tcBorders>
            <w:vAlign w:val="center"/>
          </w:tcPr>
          <w:p w:rsidR="00C207FF" w:rsidRDefault="001A75EE">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w:t>
            </w:r>
          </w:p>
        </w:tc>
        <w:tc>
          <w:tcPr>
            <w:tcW w:w="4228" w:type="dxa"/>
            <w:gridSpan w:val="2"/>
            <w:tcBorders>
              <w:tl2br w:val="nil"/>
              <w:tr2bl w:val="nil"/>
            </w:tcBorders>
            <w:vAlign w:val="center"/>
          </w:tcPr>
          <w:p w:rsidR="00C207FF" w:rsidRDefault="00C207FF">
            <w:pPr>
              <w:jc w:val="center"/>
              <w:rPr>
                <w:rFonts w:ascii="宋体" w:cs="宋体"/>
                <w:sz w:val="20"/>
              </w:rPr>
            </w:pPr>
          </w:p>
        </w:tc>
      </w:tr>
    </w:tbl>
    <w:p w:rsidR="00C207FF" w:rsidRDefault="00C207FF">
      <w:pPr>
        <w:ind w:firstLineChars="200" w:firstLine="420"/>
      </w:pPr>
    </w:p>
    <w:p w:rsidR="00C207FF" w:rsidRDefault="00C207FF">
      <w:pPr>
        <w:ind w:firstLineChars="200" w:firstLine="420"/>
      </w:pPr>
    </w:p>
    <w:p w:rsidR="00C207FF" w:rsidRDefault="001A75EE">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（二）机关运行经费。</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为非参照公务员法管理的事业单位，按照部门预算机关运行经费口径，</w:t>
      </w: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w:t>
      </w:r>
      <w:proofErr w:type="gramStart"/>
      <w:r>
        <w:rPr>
          <w:rFonts w:ascii="TimesNewRoman" w:eastAsia="仿宋_GB2312" w:hAnsi="TimesNewRoman" w:cs="TimesNewRoman" w:hint="eastAsia"/>
          <w:kern w:val="0"/>
          <w:sz w:val="32"/>
          <w:szCs w:val="32"/>
        </w:rPr>
        <w:t>无机关</w:t>
      </w:r>
      <w:proofErr w:type="gramEnd"/>
      <w:r>
        <w:rPr>
          <w:rFonts w:ascii="TimesNewRoman" w:eastAsia="仿宋_GB2312" w:hAnsi="TimesNewRoman" w:cs="TimesNewRoman" w:hint="eastAsia"/>
          <w:kern w:val="0"/>
          <w:sz w:val="32"/>
          <w:szCs w:val="32"/>
        </w:rPr>
        <w:t>运行经费财政拨款预算。</w:t>
      </w:r>
    </w:p>
    <w:p w:rsidR="00C207FF" w:rsidRDefault="001A75EE">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（三）政府采购情况。</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年政府采购预算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万元。其中：政府采购货物预算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万元，政府采购工程预算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万元，政府采购服务预算</w:t>
      </w:r>
      <w:r>
        <w:rPr>
          <w:rFonts w:ascii="TimesNewRoman" w:eastAsia="仿宋_GB2312" w:hAnsi="TimesNewRoman" w:cs="TimesNewRoman" w:hint="eastAsia"/>
          <w:kern w:val="0"/>
          <w:sz w:val="32"/>
          <w:szCs w:val="32"/>
        </w:rPr>
        <w:t>0</w:t>
      </w:r>
      <w:r>
        <w:rPr>
          <w:rFonts w:ascii="TimesNewRoman" w:eastAsia="仿宋_GB2312" w:hAnsi="TimesNewRoman" w:cs="TimesNewRoman" w:hint="eastAsia"/>
          <w:kern w:val="0"/>
          <w:sz w:val="32"/>
          <w:szCs w:val="32"/>
        </w:rPr>
        <w:t>万元。</w:t>
      </w:r>
    </w:p>
    <w:p w:rsidR="00C207FF" w:rsidRDefault="001A75EE">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lastRenderedPageBreak/>
        <w:t>（四）国有资产占有使用情况。</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截至</w:t>
      </w:r>
      <w:r>
        <w:rPr>
          <w:rFonts w:ascii="TimesNewRoman" w:eastAsia="仿宋_GB2312" w:hAnsi="TimesNewRoman" w:cs="TimesNewRoman" w:hint="eastAsia"/>
          <w:kern w:val="0"/>
          <w:sz w:val="32"/>
          <w:szCs w:val="32"/>
        </w:rPr>
        <w:t>2022</w:t>
      </w:r>
      <w:r>
        <w:rPr>
          <w:rFonts w:ascii="TimesNewRoman" w:eastAsia="仿宋_GB2312" w:hAnsi="TimesNewRoman" w:cs="TimesNewRoman" w:hint="eastAsia"/>
          <w:kern w:val="0"/>
          <w:sz w:val="32"/>
          <w:szCs w:val="32"/>
        </w:rPr>
        <w:t>年</w:t>
      </w:r>
      <w:r>
        <w:rPr>
          <w:rFonts w:ascii="TimesNewRoman" w:eastAsia="仿宋_GB2312" w:hAnsi="TimesNewRoman" w:cs="TimesNewRoman" w:hint="eastAsia"/>
          <w:kern w:val="0"/>
          <w:sz w:val="32"/>
          <w:szCs w:val="32"/>
        </w:rPr>
        <w:t>12</w:t>
      </w:r>
      <w:r>
        <w:rPr>
          <w:rFonts w:ascii="TimesNewRoman" w:eastAsia="仿宋_GB2312" w:hAnsi="TimesNewRoman" w:cs="TimesNewRoman" w:hint="eastAsia"/>
          <w:kern w:val="0"/>
          <w:sz w:val="32"/>
          <w:szCs w:val="32"/>
        </w:rPr>
        <w:t>月</w:t>
      </w:r>
      <w:r>
        <w:rPr>
          <w:rFonts w:ascii="TimesNewRoman" w:eastAsia="仿宋_GB2312" w:hAnsi="TimesNewRoman" w:cs="TimesNewRoman" w:hint="eastAsia"/>
          <w:kern w:val="0"/>
          <w:sz w:val="32"/>
          <w:szCs w:val="32"/>
        </w:rPr>
        <w:t>31</w:t>
      </w:r>
      <w:r>
        <w:rPr>
          <w:rFonts w:ascii="TimesNewRoman" w:eastAsia="仿宋_GB2312" w:hAnsi="TimesNewRoman" w:cs="TimesNewRoman" w:hint="eastAsia"/>
          <w:kern w:val="0"/>
          <w:sz w:val="32"/>
          <w:szCs w:val="32"/>
        </w:rPr>
        <w:t>日，淮北市传染病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共有车辆</w:t>
      </w:r>
      <w:r>
        <w:rPr>
          <w:rFonts w:ascii="TimesNewRoman" w:eastAsia="仿宋_GB2312" w:hAnsi="TimesNewRoman" w:cs="TimesNewRoman" w:hint="eastAsia"/>
          <w:kern w:val="0"/>
          <w:sz w:val="32"/>
          <w:szCs w:val="32"/>
        </w:rPr>
        <w:t>3</w:t>
      </w:r>
      <w:r>
        <w:rPr>
          <w:rFonts w:ascii="TimesNewRoman" w:eastAsia="仿宋_GB2312" w:hAnsi="TimesNewRoman" w:cs="TimesNewRoman" w:hint="eastAsia"/>
          <w:kern w:val="0"/>
          <w:sz w:val="32"/>
          <w:szCs w:val="32"/>
        </w:rPr>
        <w:t>辆，其中：应急保障用车</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辆、其他用车</w:t>
      </w:r>
      <w:r>
        <w:rPr>
          <w:rFonts w:ascii="TimesNewRoman" w:eastAsia="仿宋_GB2312" w:hAnsi="TimesNewRoman" w:cs="TimesNewRoman" w:hint="eastAsia"/>
          <w:kern w:val="0"/>
          <w:sz w:val="32"/>
          <w:szCs w:val="32"/>
        </w:rPr>
        <w:t>2</w:t>
      </w:r>
      <w:r>
        <w:rPr>
          <w:rFonts w:ascii="TimesNewRoman" w:eastAsia="仿宋_GB2312" w:hAnsi="TimesNewRoman" w:cs="TimesNewRoman" w:hint="eastAsia"/>
          <w:kern w:val="0"/>
          <w:sz w:val="32"/>
          <w:szCs w:val="32"/>
        </w:rPr>
        <w:t>辆。单价</w:t>
      </w:r>
      <w:r>
        <w:rPr>
          <w:rFonts w:ascii="TimesNewRoman" w:eastAsia="仿宋_GB2312" w:hAnsi="TimesNewRoman" w:cs="TimesNewRoman" w:hint="eastAsia"/>
          <w:kern w:val="0"/>
          <w:sz w:val="32"/>
          <w:szCs w:val="32"/>
        </w:rPr>
        <w:t>50</w:t>
      </w:r>
      <w:r>
        <w:rPr>
          <w:rFonts w:ascii="TimesNewRoman" w:eastAsia="仿宋_GB2312" w:hAnsi="TimesNewRoman" w:cs="TimesNewRoman" w:hint="eastAsia"/>
          <w:kern w:val="0"/>
          <w:sz w:val="32"/>
          <w:szCs w:val="32"/>
        </w:rPr>
        <w:t>万元以上的通用设备</w:t>
      </w:r>
      <w:r>
        <w:rPr>
          <w:rFonts w:ascii="TimesNewRoman" w:eastAsia="仿宋_GB2312" w:hAnsi="TimesNewRoman" w:cs="TimesNewRoman" w:hint="eastAsia"/>
          <w:kern w:val="0"/>
          <w:sz w:val="32"/>
          <w:szCs w:val="32"/>
        </w:rPr>
        <w:t>5</w:t>
      </w:r>
      <w:r>
        <w:rPr>
          <w:rFonts w:ascii="TimesNewRoman" w:eastAsia="仿宋_GB2312" w:hAnsi="TimesNewRoman" w:cs="TimesNewRoman" w:hint="eastAsia"/>
          <w:kern w:val="0"/>
          <w:sz w:val="32"/>
          <w:szCs w:val="32"/>
        </w:rPr>
        <w:t>台（套），单价</w:t>
      </w:r>
      <w:r>
        <w:rPr>
          <w:rFonts w:ascii="TimesNewRoman" w:eastAsia="仿宋_GB2312" w:hAnsi="TimesNewRoman" w:cs="TimesNewRoman" w:hint="eastAsia"/>
          <w:kern w:val="0"/>
          <w:sz w:val="32"/>
          <w:szCs w:val="32"/>
        </w:rPr>
        <w:t>100</w:t>
      </w:r>
      <w:r>
        <w:rPr>
          <w:rFonts w:ascii="TimesNewRoman" w:eastAsia="仿宋_GB2312" w:hAnsi="TimesNewRoman" w:cs="TimesNewRoman" w:hint="eastAsia"/>
          <w:kern w:val="0"/>
          <w:sz w:val="32"/>
          <w:szCs w:val="32"/>
        </w:rPr>
        <w:t>万元以上的专用设备</w:t>
      </w:r>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台（套）。</w:t>
      </w:r>
    </w:p>
    <w:p w:rsidR="00F6424E" w:rsidRPr="00C10019" w:rsidRDefault="00F6424E" w:rsidP="00F6424E">
      <w:pPr>
        <w:spacing w:line="560" w:lineRule="exact"/>
        <w:ind w:firstLineChars="200" w:firstLine="640"/>
        <w:rPr>
          <w:rFonts w:ascii="Times New Roman" w:eastAsia="仿宋_GB2312" w:hAnsi="Times New Roman" w:cs="Times New Roman"/>
          <w:kern w:val="0"/>
          <w:sz w:val="32"/>
          <w:szCs w:val="32"/>
        </w:rPr>
      </w:pPr>
      <w:r w:rsidRPr="00C10019">
        <w:rPr>
          <w:rFonts w:ascii="Times New Roman" w:eastAsia="仿宋_GB2312" w:hAnsi="Times New Roman" w:cs="Times New Roman"/>
          <w:kern w:val="0"/>
          <w:sz w:val="32"/>
          <w:szCs w:val="32"/>
        </w:rPr>
        <w:t>2023</w:t>
      </w:r>
      <w:r w:rsidRPr="00C10019">
        <w:rPr>
          <w:rFonts w:ascii="Times New Roman" w:eastAsia="仿宋_GB2312" w:hAnsi="Times New Roman" w:cs="Times New Roman"/>
          <w:kern w:val="0"/>
          <w:sz w:val="32"/>
          <w:szCs w:val="32"/>
        </w:rPr>
        <w:t>年部门预算安排购置公务用车</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辆，购置费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万元；安排购置单价</w:t>
      </w:r>
      <w:r w:rsidRPr="00C10019">
        <w:rPr>
          <w:rFonts w:ascii="Times New Roman" w:eastAsia="仿宋_GB2312" w:hAnsi="Times New Roman" w:cs="Times New Roman"/>
          <w:kern w:val="0"/>
          <w:sz w:val="32"/>
          <w:szCs w:val="32"/>
        </w:rPr>
        <w:t>50</w:t>
      </w:r>
      <w:r w:rsidRPr="00C10019">
        <w:rPr>
          <w:rFonts w:ascii="Times New Roman" w:eastAsia="仿宋_GB2312" w:hAnsi="Times New Roman" w:cs="Times New Roman"/>
          <w:kern w:val="0"/>
          <w:sz w:val="32"/>
          <w:szCs w:val="32"/>
        </w:rPr>
        <w:t>万元以上的通用设备</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台（套），购置费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万元；安排购置单价</w:t>
      </w:r>
      <w:r w:rsidRPr="00C10019">
        <w:rPr>
          <w:rFonts w:ascii="Times New Roman" w:eastAsia="仿宋_GB2312" w:hAnsi="Times New Roman" w:cs="Times New Roman"/>
          <w:kern w:val="0"/>
          <w:sz w:val="32"/>
          <w:szCs w:val="32"/>
        </w:rPr>
        <w:t>100</w:t>
      </w:r>
      <w:r w:rsidRPr="00C10019">
        <w:rPr>
          <w:rFonts w:ascii="Times New Roman" w:eastAsia="仿宋_GB2312" w:hAnsi="Times New Roman" w:cs="Times New Roman"/>
          <w:kern w:val="0"/>
          <w:sz w:val="32"/>
          <w:szCs w:val="32"/>
        </w:rPr>
        <w:t>万元以上专用设备</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台（套），购置费</w:t>
      </w:r>
      <w:r w:rsidRPr="00C10019">
        <w:rPr>
          <w:rFonts w:ascii="Times New Roman" w:eastAsia="仿宋_GB2312" w:hAnsi="Times New Roman" w:cs="Times New Roman"/>
          <w:kern w:val="0"/>
          <w:sz w:val="32"/>
          <w:szCs w:val="32"/>
        </w:rPr>
        <w:t>0</w:t>
      </w:r>
      <w:r w:rsidRPr="00C10019">
        <w:rPr>
          <w:rFonts w:ascii="Times New Roman" w:eastAsia="仿宋_GB2312" w:hAnsi="Times New Roman" w:cs="Times New Roman"/>
          <w:kern w:val="0"/>
          <w:sz w:val="32"/>
          <w:szCs w:val="32"/>
        </w:rPr>
        <w:t>万元。</w:t>
      </w:r>
    </w:p>
    <w:p w:rsidR="00C207FF" w:rsidRDefault="001A75EE" w:rsidP="00F6424E">
      <w:pPr>
        <w:adjustRightInd w:val="0"/>
        <w:snapToGrid w:val="0"/>
        <w:spacing w:line="580" w:lineRule="exact"/>
        <w:ind w:firstLineChars="200" w:firstLine="643"/>
        <w:rPr>
          <w:rFonts w:ascii="TimesNewRoman" w:eastAsia="仿宋_GB2312" w:hAnsi="TimesNewRoman" w:cs="TimesNewRoman"/>
          <w:b/>
          <w:sz w:val="32"/>
          <w:szCs w:val="32"/>
        </w:rPr>
      </w:pPr>
      <w:r>
        <w:rPr>
          <w:rFonts w:ascii="TimesNewRoman" w:eastAsia="仿宋_GB2312" w:hAnsi="TimesNewRoman" w:cs="TimesNewRoman" w:hint="eastAsia"/>
          <w:b/>
          <w:sz w:val="32"/>
          <w:szCs w:val="32"/>
        </w:rPr>
        <w:t>（五）绩效目标设置情况。</w:t>
      </w:r>
    </w:p>
    <w:p w:rsidR="00C207FF" w:rsidRDefault="001A75EE">
      <w:pPr>
        <w:ind w:firstLineChars="200" w:firstLine="640"/>
        <w:rPr>
          <w:rFonts w:ascii="TimesNewRoman" w:eastAsia="仿宋_GB2312" w:hAnsi="TimesNewRoman" w:cs="TimesNewRoman"/>
          <w:kern w:val="0"/>
          <w:sz w:val="32"/>
          <w:szCs w:val="32"/>
        </w:rPr>
      </w:pPr>
      <w:r>
        <w:rPr>
          <w:rFonts w:ascii="TimesNewRoman" w:eastAsia="仿宋_GB2312" w:hAnsi="TimesNewRoman" w:cs="TimesNewRoman" w:hint="eastAsia"/>
          <w:kern w:val="0"/>
          <w:sz w:val="32"/>
          <w:szCs w:val="32"/>
        </w:rPr>
        <w:t>2023</w:t>
      </w:r>
      <w:r>
        <w:rPr>
          <w:rFonts w:ascii="TimesNewRoman" w:eastAsia="仿宋_GB2312" w:hAnsi="TimesNewRoman" w:cs="TimesNewRoman" w:hint="eastAsia"/>
          <w:kern w:val="0"/>
          <w:sz w:val="32"/>
          <w:szCs w:val="32"/>
        </w:rPr>
        <w:t>年，淮北市传染病</w:t>
      </w:r>
      <w:proofErr w:type="gramStart"/>
      <w:r>
        <w:rPr>
          <w:rFonts w:ascii="TimesNewRoman" w:eastAsia="仿宋_GB2312" w:hAnsi="TimesNewRoman" w:cs="TimesNewRoman" w:hint="eastAsia"/>
          <w:kern w:val="0"/>
          <w:sz w:val="32"/>
          <w:szCs w:val="32"/>
        </w:rPr>
        <w:t>医院医院</w:t>
      </w:r>
      <w:proofErr w:type="gramEnd"/>
      <w:r>
        <w:rPr>
          <w:rFonts w:ascii="TimesNewRoman" w:eastAsia="仿宋_GB2312" w:hAnsi="TimesNewRoman" w:cs="TimesNewRoman" w:hint="eastAsia"/>
          <w:kern w:val="0"/>
          <w:sz w:val="32"/>
          <w:szCs w:val="32"/>
        </w:rPr>
        <w:t>1</w:t>
      </w:r>
      <w:r>
        <w:rPr>
          <w:rFonts w:ascii="TimesNewRoman" w:eastAsia="仿宋_GB2312" w:hAnsi="TimesNewRoman" w:cs="TimesNewRoman" w:hint="eastAsia"/>
          <w:kern w:val="0"/>
          <w:sz w:val="32"/>
          <w:szCs w:val="32"/>
        </w:rPr>
        <w:t>个项目实行了绩效目标管理，涉及一般公共预算当年财政拨款</w:t>
      </w:r>
      <w:r>
        <w:rPr>
          <w:rFonts w:ascii="TimesNewRoman" w:eastAsia="仿宋_GB2312" w:hAnsi="TimesNewRoman" w:cs="TimesNewRoman" w:hint="eastAsia"/>
          <w:kern w:val="0"/>
          <w:sz w:val="32"/>
          <w:szCs w:val="32"/>
        </w:rPr>
        <w:t>44.8</w:t>
      </w:r>
      <w:r>
        <w:rPr>
          <w:rFonts w:ascii="TimesNewRoman" w:eastAsia="仿宋_GB2312" w:hAnsi="TimesNewRoman" w:cs="TimesNewRoman" w:hint="eastAsia"/>
          <w:kern w:val="0"/>
          <w:sz w:val="32"/>
          <w:szCs w:val="32"/>
        </w:rPr>
        <w:t>万元。</w:t>
      </w:r>
    </w:p>
    <w:p w:rsidR="00C207FF" w:rsidRDefault="00C207FF"/>
    <w:p w:rsidR="00C207FF" w:rsidRDefault="00C207FF">
      <w:pPr>
        <w:pStyle w:val="a3"/>
        <w:adjustRightInd w:val="0"/>
        <w:snapToGrid w:val="0"/>
        <w:spacing w:line="560" w:lineRule="exact"/>
        <w:jc w:val="center"/>
        <w:rPr>
          <w:rFonts w:ascii="TimesNewRoman" w:eastAsia="黑体" w:hAnsi="TimesNewRoman" w:cs="TimesNewRoman"/>
          <w:bCs/>
          <w:sz w:val="36"/>
          <w:szCs w:val="36"/>
        </w:rPr>
      </w:pPr>
    </w:p>
    <w:p w:rsidR="00C207FF" w:rsidRDefault="001A75EE">
      <w:pPr>
        <w:pStyle w:val="a3"/>
        <w:adjustRightInd w:val="0"/>
        <w:snapToGrid w:val="0"/>
        <w:spacing w:line="560" w:lineRule="exact"/>
        <w:jc w:val="center"/>
        <w:rPr>
          <w:rFonts w:ascii="TimesNewRoman" w:eastAsia="黑体" w:hAnsi="TimesNewRoman" w:cs="TimesNewRoman"/>
          <w:bCs/>
          <w:sz w:val="36"/>
          <w:szCs w:val="36"/>
        </w:rPr>
      </w:pPr>
      <w:r>
        <w:rPr>
          <w:rFonts w:ascii="TimesNewRoman" w:eastAsia="黑体" w:hAnsi="TimesNewRoman" w:cs="TimesNewRoman" w:hint="eastAsia"/>
          <w:bCs/>
          <w:sz w:val="36"/>
          <w:szCs w:val="36"/>
        </w:rPr>
        <w:t>第四部分</w:t>
      </w:r>
      <w:r>
        <w:rPr>
          <w:rFonts w:ascii="TimesNewRoman" w:eastAsia="黑体" w:hAnsi="TimesNewRoman" w:cs="TimesNewRoman" w:hint="eastAsia"/>
          <w:bCs/>
          <w:sz w:val="36"/>
          <w:szCs w:val="36"/>
        </w:rPr>
        <w:t xml:space="preserve"> </w:t>
      </w:r>
      <w:r>
        <w:rPr>
          <w:rFonts w:ascii="TimesNewRoman" w:eastAsia="黑体" w:hAnsi="TimesNewRoman" w:cs="TimesNewRoman" w:hint="eastAsia"/>
          <w:bCs/>
          <w:sz w:val="36"/>
          <w:szCs w:val="36"/>
        </w:rPr>
        <w:t>名词解释</w:t>
      </w:r>
    </w:p>
    <w:p w:rsidR="00C207FF" w:rsidRDefault="00C207FF"/>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一、财政拨款收入：</w:t>
      </w:r>
      <w:r>
        <w:rPr>
          <w:rFonts w:ascii="TimesNewRoman" w:eastAsia="仿宋_GB2312" w:hAnsi="TimesNewRoman" w:cs="TimesNewRoman" w:hint="eastAsia"/>
          <w:sz w:val="32"/>
          <w:szCs w:val="32"/>
        </w:rPr>
        <w:t>指部门或单位从同级财政部门取得的财政预算资金。</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二、事业收入：</w:t>
      </w:r>
      <w:r>
        <w:rPr>
          <w:rFonts w:ascii="TimesNewRoman" w:eastAsia="仿宋_GB2312" w:hAnsi="TimesNewRoman" w:cs="TimesNewRoman" w:hint="eastAsia"/>
          <w:sz w:val="32"/>
          <w:szCs w:val="32"/>
        </w:rPr>
        <w:t>指事业单位开展专业业务活动及辅助活动所取得的收入。</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三、财政专户管理资金：</w:t>
      </w:r>
      <w:r>
        <w:rPr>
          <w:rFonts w:ascii="TimesNewRoman" w:eastAsia="仿宋_GB2312" w:hAnsi="TimesNewRoman" w:cs="TimesNewRoman" w:hint="eastAsia"/>
          <w:sz w:val="32"/>
          <w:szCs w:val="32"/>
        </w:rPr>
        <w:t>指按照非税收入管理相关规定，纳入财政专户管理的教育收费等。</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lastRenderedPageBreak/>
        <w:t>四、事业单位经营收入：</w:t>
      </w:r>
      <w:r>
        <w:rPr>
          <w:rFonts w:ascii="TimesNewRoman" w:eastAsia="仿宋_GB2312" w:hAnsi="TimesNewRoman" w:cs="TimesNewRoman" w:hint="eastAsia"/>
          <w:sz w:val="32"/>
          <w:szCs w:val="32"/>
        </w:rPr>
        <w:t>指事业单位在专业业务活动及其辅助活动之外开展非独立核算经营活动取得的收入。</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五、附属单位上缴收入：</w:t>
      </w:r>
      <w:r>
        <w:rPr>
          <w:rFonts w:ascii="TimesNewRoman" w:eastAsia="仿宋_GB2312" w:hAnsi="TimesNewRoman" w:cs="TimesNewRoman" w:hint="eastAsia"/>
          <w:sz w:val="32"/>
          <w:szCs w:val="32"/>
        </w:rPr>
        <w:t>本单位所属下级单位上缴给本单位的全部收入。</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六、上年结转：</w:t>
      </w:r>
      <w:r>
        <w:rPr>
          <w:rFonts w:ascii="TimesNewRoman" w:eastAsia="仿宋_GB2312" w:hAnsi="TimesNewRoman" w:cs="TimesNewRoman" w:hint="eastAsia"/>
          <w:sz w:val="32"/>
          <w:szCs w:val="32"/>
        </w:rPr>
        <w:t>指以前年度安排、结转到本年仍按原用途继续使用的资金。</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七、结转下年：</w:t>
      </w:r>
      <w:r>
        <w:rPr>
          <w:rFonts w:ascii="TimesNewRoman" w:eastAsia="仿宋_GB2312" w:hAnsi="TimesNewRoman" w:cs="TimesNewRoman" w:hint="eastAsia"/>
          <w:sz w:val="32"/>
          <w:szCs w:val="32"/>
        </w:rPr>
        <w:t>指以前年度预算安排、因客观条件发生变化无法按原计划实施，</w:t>
      </w:r>
      <w:proofErr w:type="gramStart"/>
      <w:r>
        <w:rPr>
          <w:rFonts w:ascii="TimesNewRoman" w:eastAsia="仿宋_GB2312" w:hAnsi="TimesNewRoman" w:cs="TimesNewRoman" w:hint="eastAsia"/>
          <w:sz w:val="32"/>
          <w:szCs w:val="32"/>
        </w:rPr>
        <w:t>需以后</w:t>
      </w:r>
      <w:proofErr w:type="gramEnd"/>
      <w:r>
        <w:rPr>
          <w:rFonts w:ascii="TimesNewRoman" w:eastAsia="仿宋_GB2312" w:hAnsi="TimesNewRoman" w:cs="TimesNewRoman" w:hint="eastAsia"/>
          <w:sz w:val="32"/>
          <w:szCs w:val="32"/>
        </w:rPr>
        <w:t>年度按原用途继续使用的资金。</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八、基本支出：</w:t>
      </w:r>
      <w:r>
        <w:rPr>
          <w:rFonts w:ascii="TimesNewRoman" w:eastAsia="仿宋_GB2312" w:hAnsi="TimesNewRoman" w:cs="TimesNewRoman" w:hint="eastAsia"/>
          <w:sz w:val="32"/>
          <w:szCs w:val="32"/>
        </w:rPr>
        <w:t>指为保障机构正常运转、完成日常工作任务而发生的人员支出和公用支出。</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九、项目支出：</w:t>
      </w:r>
      <w:r>
        <w:rPr>
          <w:rFonts w:ascii="TimesNewRoman" w:eastAsia="仿宋_GB2312" w:hAnsi="TimesNewRoman" w:cs="TimesNewRoman" w:hint="eastAsia"/>
          <w:sz w:val="32"/>
          <w:szCs w:val="32"/>
        </w:rPr>
        <w:t>指在除基本支出之外的支出，主要用于完成特定的工作任务和事业发展目标。</w:t>
      </w:r>
    </w:p>
    <w:p w:rsidR="00C207FF" w:rsidRDefault="001A75EE">
      <w:pPr>
        <w:pStyle w:val="a3"/>
        <w:adjustRightInd w:val="0"/>
        <w:snapToGrid w:val="0"/>
        <w:spacing w:line="560" w:lineRule="exact"/>
        <w:ind w:firstLineChars="196" w:firstLine="630"/>
        <w:rPr>
          <w:rFonts w:ascii="TimesNewRoman" w:eastAsia="仿宋_GB2312" w:hAnsi="TimesNewRoman" w:cs="TimesNewRoman"/>
          <w:sz w:val="32"/>
          <w:szCs w:val="32"/>
        </w:rPr>
      </w:pPr>
      <w:r>
        <w:rPr>
          <w:rFonts w:ascii="TimesNewRoman" w:eastAsia="仿宋_GB2312" w:hAnsi="TimesNewRoman" w:cs="TimesNewRoman" w:hint="eastAsia"/>
          <w:b/>
          <w:sz w:val="32"/>
          <w:szCs w:val="32"/>
        </w:rPr>
        <w:t>十、机关运行经费</w:t>
      </w:r>
      <w:r>
        <w:rPr>
          <w:rFonts w:ascii="TimesNewRoman" w:eastAsia="仿宋_GB2312" w:hAnsi="TimesNewRoman" w:cs="TimesNewRoman" w:hint="eastAsia"/>
          <w:b/>
          <w:sz w:val="32"/>
          <w:szCs w:val="32"/>
        </w:rPr>
        <w:t xml:space="preserve">: </w:t>
      </w:r>
      <w:r>
        <w:rPr>
          <w:rFonts w:ascii="TimesNewRoman" w:eastAsia="仿宋_GB2312" w:hAnsi="TimesNewRoman" w:cs="TimesNewRoman"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C207FF" w:rsidRDefault="00C207FF"/>
    <w:p w:rsidR="00C207FF" w:rsidRDefault="00C207FF"/>
    <w:p w:rsidR="00C207FF" w:rsidRDefault="00C207FF"/>
    <w:p w:rsidR="00C207FF" w:rsidRDefault="00C207FF"/>
    <w:p w:rsidR="00C207FF" w:rsidRDefault="00C207FF"/>
    <w:sectPr w:rsidR="00C207FF" w:rsidSect="00C207FF">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9F" w:rsidRDefault="00082E9F" w:rsidP="00F6424E">
      <w:r>
        <w:separator/>
      </w:r>
    </w:p>
  </w:endnote>
  <w:endnote w:type="continuationSeparator" w:id="0">
    <w:p w:rsidR="00082E9F" w:rsidRDefault="00082E9F" w:rsidP="00F64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
    <w:altName w:val="Arial Unicode MS"/>
    <w:charset w:val="00"/>
    <w:family w:val="auto"/>
    <w:pitch w:val="default"/>
    <w:sig w:usb0="00000000" w:usb1="D00078FF" w:usb2="00000029" w:usb3="00000000" w:csb0="600001FF" w:csb1="FFFF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汉仪中秀体简">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9F" w:rsidRDefault="00082E9F" w:rsidP="00F6424E">
      <w:r>
        <w:separator/>
      </w:r>
    </w:p>
  </w:footnote>
  <w:footnote w:type="continuationSeparator" w:id="0">
    <w:p w:rsidR="00082E9F" w:rsidRDefault="00082E9F" w:rsidP="00F64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56A7BB"/>
    <w:multiLevelType w:val="singleLevel"/>
    <w:tmpl w:val="9D56A7BB"/>
    <w:lvl w:ilvl="0">
      <w:start w:val="2"/>
      <w:numFmt w:val="decimal"/>
      <w:suff w:val="nothing"/>
      <w:lvlText w:val="（%1）"/>
      <w:lvlJc w:val="left"/>
    </w:lvl>
  </w:abstractNum>
  <w:abstractNum w:abstractNumId="1">
    <w:nsid w:val="0E9A20EF"/>
    <w:multiLevelType w:val="singleLevel"/>
    <w:tmpl w:val="0E9A20EF"/>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7C4"/>
    <w:rsid w:val="00082E9F"/>
    <w:rsid w:val="001A75EE"/>
    <w:rsid w:val="0057562B"/>
    <w:rsid w:val="006546AF"/>
    <w:rsid w:val="00687597"/>
    <w:rsid w:val="008F6D1A"/>
    <w:rsid w:val="009A3CA3"/>
    <w:rsid w:val="009C7B28"/>
    <w:rsid w:val="00AE3242"/>
    <w:rsid w:val="00C207FF"/>
    <w:rsid w:val="00E907C4"/>
    <w:rsid w:val="00EC7755"/>
    <w:rsid w:val="00F6424E"/>
    <w:rsid w:val="02261B4E"/>
    <w:rsid w:val="0C855972"/>
    <w:rsid w:val="11BA4C87"/>
    <w:rsid w:val="17E872E6"/>
    <w:rsid w:val="1F9406A8"/>
    <w:rsid w:val="22254058"/>
    <w:rsid w:val="2A144474"/>
    <w:rsid w:val="2C502250"/>
    <w:rsid w:val="30506B74"/>
    <w:rsid w:val="30E239C5"/>
    <w:rsid w:val="36F611E3"/>
    <w:rsid w:val="39477B2B"/>
    <w:rsid w:val="3A5B0C99"/>
    <w:rsid w:val="416C1CCB"/>
    <w:rsid w:val="43740ED3"/>
    <w:rsid w:val="43DE7824"/>
    <w:rsid w:val="476B5F10"/>
    <w:rsid w:val="4A591BF6"/>
    <w:rsid w:val="4B284F88"/>
    <w:rsid w:val="506F4238"/>
    <w:rsid w:val="50ED0E8A"/>
    <w:rsid w:val="59031F12"/>
    <w:rsid w:val="59A9055F"/>
    <w:rsid w:val="5FB75B7C"/>
    <w:rsid w:val="604421C0"/>
    <w:rsid w:val="67096B0A"/>
    <w:rsid w:val="6937450D"/>
    <w:rsid w:val="6AA926FB"/>
    <w:rsid w:val="76D46A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207FF"/>
    <w:pPr>
      <w:widowControl/>
      <w:spacing w:before="100" w:beforeAutospacing="1" w:after="100" w:afterAutospacing="1"/>
      <w:jc w:val="left"/>
    </w:pPr>
    <w:rPr>
      <w:rFonts w:ascii="宋体" w:eastAsia="宋体" w:hAnsi="宋体" w:cs="宋体"/>
      <w:kern w:val="0"/>
      <w:sz w:val="24"/>
      <w:szCs w:val="24"/>
    </w:rPr>
  </w:style>
  <w:style w:type="paragraph" w:customStyle="1" w:styleId="21">
    <w:name w:val="正文文本缩进 21"/>
    <w:qFormat/>
    <w:rsid w:val="00C207FF"/>
    <w:pPr>
      <w:spacing w:line="480" w:lineRule="auto"/>
      <w:ind w:leftChars="200" w:left="200"/>
      <w:jc w:val="both"/>
      <w:textAlignment w:val="baseline"/>
    </w:pPr>
    <w:rPr>
      <w:rFonts w:ascii="Times New Roman" w:eastAsia="宋体" w:hAnsi="Times New Roman" w:cs="Times New Roman"/>
      <w:kern w:val="2"/>
      <w:sz w:val="21"/>
      <w:szCs w:val="24"/>
    </w:rPr>
  </w:style>
  <w:style w:type="paragraph" w:customStyle="1" w:styleId="ql-align-justify">
    <w:name w:val="ql-align-justify"/>
    <w:basedOn w:val="a"/>
    <w:qFormat/>
    <w:rsid w:val="00C207FF"/>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F64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424E"/>
    <w:rPr>
      <w:kern w:val="2"/>
      <w:sz w:val="18"/>
      <w:szCs w:val="18"/>
    </w:rPr>
  </w:style>
  <w:style w:type="paragraph" w:styleId="a5">
    <w:name w:val="footer"/>
    <w:basedOn w:val="a"/>
    <w:link w:val="Char0"/>
    <w:uiPriority w:val="99"/>
    <w:semiHidden/>
    <w:unhideWhenUsed/>
    <w:rsid w:val="00F6424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6424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王雅琳</cp:lastModifiedBy>
  <cp:revision>3</cp:revision>
  <dcterms:created xsi:type="dcterms:W3CDTF">2023-01-30T01:51:00Z</dcterms:created>
  <dcterms:modified xsi:type="dcterms:W3CDTF">2023-03-02T06:47:00Z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