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88313">
      <w:pPr>
        <w:jc w:val="center"/>
        <w:rPr>
          <w:rFonts w:ascii="宋体" w:hAnsi="宋体"/>
          <w:b/>
          <w:sz w:val="36"/>
          <w:szCs w:val="36"/>
        </w:rPr>
      </w:pPr>
      <w:r>
        <w:rPr>
          <w:rFonts w:hint="eastAsia" w:ascii="宋体" w:hAnsi="宋体"/>
          <w:b/>
          <w:sz w:val="36"/>
          <w:szCs w:val="36"/>
        </w:rPr>
        <w:t>淮北市传染病医院</w:t>
      </w:r>
      <w:r>
        <w:rPr>
          <w:rFonts w:ascii="宋体" w:hAnsi="宋体"/>
          <w:b/>
          <w:sz w:val="36"/>
          <w:szCs w:val="36"/>
        </w:rPr>
        <w:t>年</w:t>
      </w:r>
      <w:r>
        <w:rPr>
          <w:rFonts w:hint="eastAsia" w:ascii="宋体" w:hAnsi="宋体"/>
          <w:b/>
          <w:sz w:val="36"/>
          <w:szCs w:val="36"/>
        </w:rPr>
        <w:t>度一般公共预算财政</w:t>
      </w:r>
    </w:p>
    <w:p w14:paraId="41D19488">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3B7FBF21">
      <w:pPr>
        <w:jc w:val="center"/>
        <w:rPr>
          <w:rFonts w:ascii="楷体_GB2312" w:eastAsia="楷体_GB2312"/>
          <w:szCs w:val="32"/>
        </w:rPr>
      </w:pPr>
      <w:r>
        <w:rPr>
          <w:rFonts w:hint="eastAsia" w:ascii="楷体_GB2312" w:eastAsia="楷体_GB2312"/>
          <w:szCs w:val="32"/>
        </w:rPr>
        <w:t>(参考格式)</w:t>
      </w:r>
    </w:p>
    <w:p w14:paraId="35E81A85">
      <w:pPr>
        <w:jc w:val="center"/>
        <w:rPr>
          <w:rFonts w:ascii="楷体_GB2312" w:eastAsia="楷体_GB2312"/>
          <w:szCs w:val="32"/>
        </w:rPr>
      </w:pPr>
    </w:p>
    <w:p w14:paraId="5F8EE11A">
      <w:pPr>
        <w:adjustRightInd w:val="0"/>
        <w:snapToGrid w:val="0"/>
        <w:spacing w:line="360" w:lineRule="auto"/>
        <w:jc w:val="center"/>
        <w:rPr>
          <w:rFonts w:ascii="宋体" w:hAnsi="宋体"/>
          <w:sz w:val="6"/>
          <w:szCs w:val="32"/>
        </w:rPr>
      </w:pPr>
    </w:p>
    <w:p w14:paraId="186118C9">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14:paraId="10196BAE">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14:paraId="03D9C18B">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1C0DFB4D">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660A58C9">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3E0725D4">
            <w:pPr>
              <w:widowControl/>
              <w:jc w:val="center"/>
              <w:rPr>
                <w:rFonts w:ascii="宋体" w:hAnsi="宋体" w:cs="宋体"/>
                <w:b/>
                <w:bCs/>
                <w:kern w:val="0"/>
                <w:szCs w:val="21"/>
              </w:rPr>
            </w:pPr>
            <w:r>
              <w:rPr>
                <w:rFonts w:hint="eastAsia" w:ascii="宋体" w:hAnsi="宋体" w:cs="宋体"/>
                <w:b/>
                <w:bCs/>
                <w:kern w:val="0"/>
                <w:szCs w:val="21"/>
              </w:rPr>
              <w:t>决 算 数</w:t>
            </w:r>
          </w:p>
        </w:tc>
      </w:tr>
      <w:tr w14:paraId="7A307F9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5A90DF6">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67B336E8">
            <w:pPr>
              <w:widowControl/>
              <w:jc w:val="center"/>
              <w:rPr>
                <w:rFonts w:ascii="宋体" w:hAnsi="宋体" w:cs="宋体"/>
                <w:b/>
                <w:bCs/>
                <w:kern w:val="0"/>
                <w:szCs w:val="21"/>
              </w:rPr>
            </w:pPr>
            <w:r>
              <w:rPr>
                <w:rFonts w:hint="eastAsia" w:ascii="宋体" w:hAnsi="宋体" w:cs="宋体"/>
                <w:b/>
                <w:bCs/>
                <w:kern w:val="0"/>
                <w:szCs w:val="21"/>
              </w:rPr>
              <w:t>1　</w:t>
            </w:r>
          </w:p>
        </w:tc>
        <w:tc>
          <w:tcPr>
            <w:tcW w:w="2220" w:type="dxa"/>
            <w:tcBorders>
              <w:top w:val="nil"/>
              <w:left w:val="nil"/>
              <w:bottom w:val="single" w:color="auto" w:sz="4" w:space="0"/>
              <w:right w:val="single" w:color="auto" w:sz="4" w:space="0"/>
            </w:tcBorders>
            <w:vAlign w:val="center"/>
          </w:tcPr>
          <w:p w14:paraId="6E0AB1BA">
            <w:pPr>
              <w:widowControl/>
              <w:jc w:val="center"/>
              <w:rPr>
                <w:rFonts w:ascii="宋体" w:hAnsi="宋体" w:cs="宋体"/>
                <w:b/>
                <w:bCs/>
                <w:kern w:val="0"/>
                <w:szCs w:val="21"/>
              </w:rPr>
            </w:pPr>
            <w:r>
              <w:rPr>
                <w:rFonts w:hint="eastAsia" w:ascii="宋体" w:hAnsi="宋体" w:cs="宋体"/>
                <w:b/>
                <w:bCs/>
                <w:kern w:val="0"/>
                <w:szCs w:val="21"/>
              </w:rPr>
              <w:t>1</w:t>
            </w:r>
          </w:p>
        </w:tc>
      </w:tr>
      <w:tr w14:paraId="673F8BF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7ECBC18">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256E6433">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63CDCFEA">
            <w:pPr>
              <w:widowControl/>
              <w:jc w:val="left"/>
              <w:rPr>
                <w:rFonts w:ascii="宋体" w:hAnsi="宋体" w:cs="宋体"/>
                <w:kern w:val="0"/>
                <w:szCs w:val="21"/>
              </w:rPr>
            </w:pPr>
            <w:r>
              <w:rPr>
                <w:rFonts w:hint="eastAsia" w:ascii="宋体" w:hAnsi="宋体" w:cs="宋体"/>
                <w:kern w:val="0"/>
                <w:szCs w:val="21"/>
              </w:rPr>
              <w:t>0</w:t>
            </w:r>
          </w:p>
        </w:tc>
      </w:tr>
      <w:tr w14:paraId="602F75B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DB0461B">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4DD3D96B">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5E9CA51B">
            <w:pPr>
              <w:widowControl/>
              <w:jc w:val="left"/>
              <w:rPr>
                <w:rFonts w:ascii="宋体" w:hAnsi="宋体" w:cs="宋体"/>
                <w:kern w:val="0"/>
                <w:szCs w:val="21"/>
              </w:rPr>
            </w:pPr>
            <w:r>
              <w:rPr>
                <w:rFonts w:hint="eastAsia" w:ascii="宋体" w:hAnsi="宋体" w:cs="宋体"/>
                <w:kern w:val="0"/>
                <w:szCs w:val="21"/>
              </w:rPr>
              <w:t>0</w:t>
            </w:r>
          </w:p>
        </w:tc>
      </w:tr>
      <w:tr w14:paraId="5682A47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2768F60">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18C91C32">
            <w:pPr>
              <w:widowControl/>
              <w:jc w:val="left"/>
              <w:rPr>
                <w:rFonts w:ascii="宋体" w:hAnsi="宋体" w:cs="宋体"/>
                <w:kern w:val="0"/>
                <w:szCs w:val="21"/>
              </w:rPr>
            </w:pPr>
            <w:r>
              <w:rPr>
                <w:rFonts w:hint="eastAsia" w:ascii="宋体" w:hAnsi="宋体" w:cs="宋体"/>
                <w:kern w:val="0"/>
                <w:szCs w:val="21"/>
              </w:rPr>
              <w:t>　1</w:t>
            </w:r>
          </w:p>
        </w:tc>
        <w:tc>
          <w:tcPr>
            <w:tcW w:w="2220" w:type="dxa"/>
            <w:tcBorders>
              <w:top w:val="nil"/>
              <w:left w:val="nil"/>
              <w:bottom w:val="single" w:color="auto" w:sz="4" w:space="0"/>
              <w:right w:val="single" w:color="auto" w:sz="4" w:space="0"/>
            </w:tcBorders>
            <w:vAlign w:val="bottom"/>
          </w:tcPr>
          <w:p w14:paraId="6A57A417">
            <w:pPr>
              <w:widowControl/>
              <w:jc w:val="left"/>
              <w:rPr>
                <w:rFonts w:ascii="宋体" w:hAnsi="宋体" w:cs="宋体"/>
                <w:kern w:val="0"/>
                <w:szCs w:val="21"/>
              </w:rPr>
            </w:pPr>
            <w:r>
              <w:rPr>
                <w:rFonts w:hint="eastAsia" w:ascii="宋体" w:hAnsi="宋体" w:cs="宋体"/>
                <w:kern w:val="0"/>
                <w:szCs w:val="21"/>
              </w:rPr>
              <w:t>1</w:t>
            </w:r>
          </w:p>
        </w:tc>
      </w:tr>
      <w:tr w14:paraId="7C611A3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124FB5B">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133FCA75">
            <w:pPr>
              <w:widowControl/>
              <w:jc w:val="left"/>
              <w:rPr>
                <w:rFonts w:ascii="宋体" w:hAnsi="宋体" w:cs="宋体"/>
                <w:kern w:val="0"/>
                <w:szCs w:val="21"/>
              </w:rPr>
            </w:pPr>
            <w:r>
              <w:rPr>
                <w:rFonts w:hint="eastAsia" w:ascii="宋体" w:hAnsi="宋体" w:cs="宋体"/>
                <w:kern w:val="0"/>
                <w:szCs w:val="21"/>
              </w:rPr>
              <w:t>　1</w:t>
            </w:r>
          </w:p>
        </w:tc>
        <w:tc>
          <w:tcPr>
            <w:tcW w:w="2220" w:type="dxa"/>
            <w:tcBorders>
              <w:top w:val="nil"/>
              <w:left w:val="nil"/>
              <w:bottom w:val="single" w:color="auto" w:sz="4" w:space="0"/>
              <w:right w:val="single" w:color="auto" w:sz="4" w:space="0"/>
            </w:tcBorders>
            <w:vAlign w:val="bottom"/>
          </w:tcPr>
          <w:p w14:paraId="3E23C277">
            <w:pPr>
              <w:widowControl/>
              <w:jc w:val="left"/>
              <w:rPr>
                <w:rFonts w:ascii="宋体" w:hAnsi="宋体" w:cs="宋体"/>
                <w:kern w:val="0"/>
                <w:szCs w:val="21"/>
              </w:rPr>
            </w:pPr>
            <w:r>
              <w:rPr>
                <w:rFonts w:hint="eastAsia" w:ascii="宋体" w:hAnsi="宋体" w:cs="宋体"/>
                <w:kern w:val="0"/>
                <w:szCs w:val="21"/>
              </w:rPr>
              <w:t>1</w:t>
            </w:r>
          </w:p>
        </w:tc>
      </w:tr>
      <w:tr w14:paraId="00461D9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5CBE266">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104E2E17">
            <w:pPr>
              <w:widowControl/>
              <w:jc w:val="left"/>
              <w:rPr>
                <w:rFonts w:ascii="宋体" w:hAnsi="宋体" w:cs="宋体"/>
                <w:kern w:val="0"/>
                <w:szCs w:val="21"/>
              </w:rPr>
            </w:pPr>
            <w:r>
              <w:rPr>
                <w:rFonts w:hint="eastAsia" w:ascii="宋体" w:hAnsi="宋体" w:cs="宋体"/>
                <w:kern w:val="0"/>
                <w:szCs w:val="21"/>
              </w:rPr>
              <w:t>　0</w:t>
            </w:r>
          </w:p>
        </w:tc>
        <w:tc>
          <w:tcPr>
            <w:tcW w:w="2220" w:type="dxa"/>
            <w:tcBorders>
              <w:top w:val="nil"/>
              <w:left w:val="nil"/>
              <w:bottom w:val="single" w:color="auto" w:sz="4" w:space="0"/>
              <w:right w:val="single" w:color="auto" w:sz="4" w:space="0"/>
            </w:tcBorders>
            <w:vAlign w:val="bottom"/>
          </w:tcPr>
          <w:p w14:paraId="74BA2B05">
            <w:pPr>
              <w:widowControl/>
              <w:jc w:val="left"/>
              <w:rPr>
                <w:rFonts w:ascii="宋体" w:hAnsi="宋体" w:cs="宋体"/>
                <w:kern w:val="0"/>
                <w:szCs w:val="21"/>
              </w:rPr>
            </w:pPr>
            <w:r>
              <w:rPr>
                <w:rFonts w:hint="eastAsia" w:ascii="宋体" w:hAnsi="宋体" w:cs="宋体"/>
                <w:kern w:val="0"/>
                <w:szCs w:val="21"/>
              </w:rPr>
              <w:t>0</w:t>
            </w:r>
          </w:p>
        </w:tc>
      </w:tr>
    </w:tbl>
    <w:p w14:paraId="36BA13F7">
      <w:pPr>
        <w:ind w:firstLine="640" w:firstLineChars="200"/>
        <w:rPr>
          <w:rFonts w:ascii="黑体" w:hAnsi="黑体" w:eastAsia="黑体"/>
          <w:szCs w:val="32"/>
        </w:rPr>
      </w:pPr>
      <w:r>
        <w:rPr>
          <w:rFonts w:hint="eastAsia" w:ascii="黑体" w:hAnsi="黑体" w:eastAsia="黑体"/>
          <w:szCs w:val="32"/>
        </w:rPr>
        <w:t xml:space="preserve">                                      </w:t>
      </w:r>
    </w:p>
    <w:p w14:paraId="5656A120">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2022年度一般公共预算财政拨款“三公”经费支出</w:t>
      </w:r>
      <w:r>
        <w:rPr>
          <w:rFonts w:ascii="黑体" w:hAnsi="黑体" w:eastAsia="黑体"/>
          <w:szCs w:val="32"/>
        </w:rPr>
        <w:t>情况说明</w:t>
      </w:r>
    </w:p>
    <w:p w14:paraId="116DEB59">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676AC51F">
      <w:pPr>
        <w:ind w:firstLine="640" w:firstLineChars="200"/>
        <w:rPr>
          <w:rFonts w:ascii="仿宋_GB2312" w:hAnsi="仿宋"/>
          <w:szCs w:val="32"/>
        </w:rPr>
      </w:pPr>
      <w:r>
        <w:rPr>
          <w:rFonts w:hint="eastAsia" w:ascii="仿宋_GB2312" w:hAnsi="仿宋"/>
          <w:szCs w:val="32"/>
        </w:rPr>
        <w:t>淮北市传染病医院2022年度一般公共预算财政拨款“三公”经费支出预算为1万元，支出决算为1万元，完成预算的100%。</w:t>
      </w:r>
    </w:p>
    <w:p w14:paraId="246F2B94">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8BAAA0F">
      <w:pPr>
        <w:ind w:firstLine="640" w:firstLineChars="200"/>
        <w:rPr>
          <w:rFonts w:ascii="仿宋_GB2312" w:hAnsi="仿宋"/>
          <w:szCs w:val="32"/>
        </w:rPr>
      </w:pPr>
      <w:r>
        <w:rPr>
          <w:rFonts w:hint="eastAsia" w:ascii="仿宋_GB2312" w:hAnsi="仿宋"/>
          <w:szCs w:val="32"/>
        </w:rPr>
        <w:t>淮北市传染病医院2022年度一般公共预算财政拨款“三公”经费支出决算中，因公出国（境）费支出决算0万元，占0%;公务接待费支出决算0万元，占0%；公务用车购置及运行维护费支出决算0万元，占0%。具体情况如下：</w:t>
      </w:r>
    </w:p>
    <w:p w14:paraId="6849D788">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预决算保持一致，与上年度持平。2022年淮北市传染病医院因公出国（境）团组0次，累计出国（境）0人次。该项经费根据市外办批准的因公临时出国（境）计划，按照规定标准安排。经费使用严格按照《淮北市财政局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3BF26DC1">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预算为0万元，支出决算为0万元，预决算保持一致，与上年度持平。2022年淮北市传染病医院国内公务接待共0批次（其中外事接待0批次），0人次（其中外事接待0人次）。经费使用贯彻落实中央八项规定精神</w:t>
      </w:r>
      <w:bookmarkStart w:id="0" w:name="_GoBack"/>
      <w:bookmarkEnd w:id="0"/>
      <w:r>
        <w:rPr>
          <w:rFonts w:hint="eastAsia" w:ascii="仿宋_GB2312" w:hAnsi="仿宋"/>
          <w:szCs w:val="32"/>
        </w:rPr>
        <w:t>和市委实</w:t>
      </w:r>
      <w:r>
        <w:rPr>
          <w:rFonts w:hint="eastAsia" w:ascii="仿宋_GB2312" w:hAnsi="宋体" w:cs="宋体"/>
          <w:kern w:val="0"/>
          <w:szCs w:val="32"/>
        </w:rPr>
        <w:t>施细则</w:t>
      </w:r>
      <w:r>
        <w:rPr>
          <w:rFonts w:hint="eastAsia" w:ascii="仿宋_GB2312" w:hAnsi="仿宋"/>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7ABA19FC">
      <w:pPr>
        <w:ind w:firstLine="643" w:firstLineChars="200"/>
        <w:rPr>
          <w:rFonts w:ascii="仿宋_GB2312" w:hAnsi="仿宋"/>
          <w:szCs w:val="32"/>
        </w:rPr>
      </w:pPr>
      <w:r>
        <w:rPr>
          <w:rFonts w:hint="eastAsia" w:ascii="仿宋_GB2312" w:hAnsi="仿宋"/>
          <w:b/>
          <w:bCs/>
          <w:szCs w:val="32"/>
        </w:rPr>
        <w:t>3.公务用车购置及运行维护费支出</w:t>
      </w:r>
      <w:r>
        <w:rPr>
          <w:rFonts w:hint="eastAsia" w:ascii="仿宋_GB2312" w:hAnsi="仿宋"/>
          <w:szCs w:val="32"/>
        </w:rPr>
        <w:t>2万元，与2022年度预算相比，减少0万元，下降0%，其中，公务用车购置费0万元，与2022年度预算相比，减少0万元，下降0%.2022年没有安排公务用车购置费</w:t>
      </w:r>
      <w:r>
        <w:rPr>
          <w:rFonts w:hint="eastAsia" w:ascii="楷体_GB2312" w:hAnsi="仿宋" w:eastAsia="楷体_GB2312"/>
          <w:szCs w:val="32"/>
        </w:rPr>
        <w:t>。</w:t>
      </w:r>
      <w:r>
        <w:rPr>
          <w:rFonts w:hint="eastAsia" w:ascii="仿宋_GB2312" w:hAnsi="仿宋"/>
          <w:szCs w:val="32"/>
        </w:rPr>
        <w:t>公务用车运行维护费1万元，与2022年度预算相比，减少1万元，下降50%。主要原因为：本年缩减三公经费。公务用车运行维护费，包括车辆燃料费、维修费、过路过桥费、保险费等支出，主要用于车辆维修保养、加油及保险。截至2022年12月31日，淮北市传染病医院公务用车保有量为4辆。</w:t>
      </w:r>
    </w:p>
    <w:p w14:paraId="267FD109"/>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4OTMyYzkwOGFhNjY2ZTJlOWY5NjQ4ZDE1M2E0NGEifQ=="/>
  </w:docVars>
  <w:rsids>
    <w:rsidRoot w:val="00D303BC"/>
    <w:rsid w:val="002036C4"/>
    <w:rsid w:val="002F6DE8"/>
    <w:rsid w:val="00326726"/>
    <w:rsid w:val="003547B8"/>
    <w:rsid w:val="003671B4"/>
    <w:rsid w:val="003B6E2C"/>
    <w:rsid w:val="00497C22"/>
    <w:rsid w:val="004D6484"/>
    <w:rsid w:val="00613D73"/>
    <w:rsid w:val="00656EC6"/>
    <w:rsid w:val="006B3BF0"/>
    <w:rsid w:val="00705936"/>
    <w:rsid w:val="007719A9"/>
    <w:rsid w:val="008A3C6F"/>
    <w:rsid w:val="009770F9"/>
    <w:rsid w:val="009D2B9A"/>
    <w:rsid w:val="00A00C09"/>
    <w:rsid w:val="00A20A12"/>
    <w:rsid w:val="00A92496"/>
    <w:rsid w:val="00AB0278"/>
    <w:rsid w:val="00B14CD1"/>
    <w:rsid w:val="00B2159B"/>
    <w:rsid w:val="00B72524"/>
    <w:rsid w:val="00CE25D9"/>
    <w:rsid w:val="00D2629D"/>
    <w:rsid w:val="00D303BC"/>
    <w:rsid w:val="00D9784E"/>
    <w:rsid w:val="00DB321D"/>
    <w:rsid w:val="00E02B6D"/>
    <w:rsid w:val="00FC29F2"/>
    <w:rsid w:val="086E1AA3"/>
    <w:rsid w:val="18242EF9"/>
    <w:rsid w:val="44501E38"/>
    <w:rsid w:val="489444AF"/>
    <w:rsid w:val="67D83129"/>
    <w:rsid w:val="7563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1025</Words>
  <Characters>1095</Characters>
  <Lines>8</Lines>
  <Paragraphs>2</Paragraphs>
  <TotalTime>6</TotalTime>
  <ScaleCrop>false</ScaleCrop>
  <LinksUpToDate>false</LinksUpToDate>
  <CharactersWithSpaces>1166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核算中心-朱兆琪</cp:lastModifiedBy>
  <cp:lastPrinted>2020-09-14T08:17:00Z</cp:lastPrinted>
  <dcterms:modified xsi:type="dcterms:W3CDTF">2025-08-15T00:34:21Z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95B7D7A6868D44358BC8FEE951F652F5</vt:lpwstr>
  </property>
  <property fmtid="{D5CDD505-2E9C-101B-9397-08002B2CF9AE}" pid="4" name="KSOTemplateDocerSaveRecord">
    <vt:lpwstr>eyJoZGlkIjoiYWJjYzA0NzdjODdiMjEwZjgyZGY3ZTQxOWZmYzhiNDYiLCJ1c2VySWQiOiIyMDE4NDU3MTIifQ==</vt:lpwstr>
  </property>
</Properties>
</file>