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6AD1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5902FA5D"/>
    <w:p w14:paraId="41785291"/>
    <w:p w14:paraId="6D5B45E9"/>
    <w:p w14:paraId="6DE4155B"/>
    <w:p w14:paraId="32942015"/>
    <w:p w14:paraId="1744C1FA"/>
    <w:p w14:paraId="0FCFD7BA"/>
    <w:p w14:paraId="756EA85C"/>
    <w:p w14:paraId="4249F44A">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淮北市妇幼保健计划生育服务中心2025年</w:t>
      </w:r>
    </w:p>
    <w:p w14:paraId="69F59543">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5EA5C4A7"/>
    <w:p w14:paraId="58D8360A"/>
    <w:p w14:paraId="14E2F67A"/>
    <w:p w14:paraId="2ADA0ECD"/>
    <w:p w14:paraId="2AC891BB"/>
    <w:p w14:paraId="30BF0347"/>
    <w:p w14:paraId="0CB87424"/>
    <w:p w14:paraId="5C492BC6"/>
    <w:p w14:paraId="29011469"/>
    <w:p w14:paraId="4681AB33"/>
    <w:p w14:paraId="4B13318C"/>
    <w:p w14:paraId="66059C49"/>
    <w:p w14:paraId="52A21011"/>
    <w:p w14:paraId="323D1735"/>
    <w:p w14:paraId="4D82005D"/>
    <w:p w14:paraId="3700A0C0"/>
    <w:p w14:paraId="244EC152"/>
    <w:p w14:paraId="021E5487"/>
    <w:p w14:paraId="2CFCB9F5"/>
    <w:p w14:paraId="0DBF1721"/>
    <w:p w14:paraId="7DF835AC"/>
    <w:p w14:paraId="0F9388A1"/>
    <w:p w14:paraId="3C726028">
      <w:pPr>
        <w:pStyle w:val="4"/>
        <w:adjustRightInd w:val="0"/>
        <w:snapToGrid w:val="0"/>
        <w:spacing w:line="560" w:lineRule="exact"/>
        <w:jc w:val="center"/>
        <w:rPr>
          <w:rFonts w:ascii="TimesNewRoman" w:hAnsi="TimesNewRoman" w:eastAsia="黑体" w:cs="TimesNewRoman"/>
          <w:bCs/>
          <w:sz w:val="44"/>
          <w:szCs w:val="44"/>
        </w:rPr>
      </w:pPr>
    </w:p>
    <w:p w14:paraId="63D3B040">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7164BE97"/>
    <w:p w14:paraId="7B69091C"/>
    <w:p w14:paraId="2F95CDDF">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A23ABFD"/>
    <w:p w14:paraId="79E81EF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5B89528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E6130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047AD9D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38ED9F5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3FA9811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1、淮北市妇幼保健计划生育服务中心2025年收支总表</w:t>
      </w:r>
    </w:p>
    <w:p w14:paraId="547311D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2、淮北市妇幼保健计划生育服务中心2025年收入总表</w:t>
      </w:r>
    </w:p>
    <w:p w14:paraId="552C212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3、淮北市妇幼保健计划生育服务中心2025年支出总表</w:t>
      </w:r>
    </w:p>
    <w:p w14:paraId="72F2C5E9">
      <w:pPr>
        <w:pStyle w:val="4"/>
        <w:adjustRightInd w:val="0"/>
        <w:snapToGrid w:val="0"/>
        <w:spacing w:line="400" w:lineRule="exact"/>
        <w:ind w:left="1278" w:leftChars="380" w:hanging="480" w:hangingChars="1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4、淮北市妇幼保健计划生育服务中心2025年财政拨款收支总表</w:t>
      </w:r>
    </w:p>
    <w:p w14:paraId="5C1C063C">
      <w:pPr>
        <w:pStyle w:val="4"/>
        <w:adjustRightInd w:val="0"/>
        <w:snapToGrid w:val="0"/>
        <w:spacing w:line="400" w:lineRule="exact"/>
        <w:ind w:left="1278" w:leftChars="380" w:hanging="480" w:hangingChars="1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5、淮北市妇幼保健计划生育服务中心2025年一般公共预算支出表</w:t>
      </w:r>
    </w:p>
    <w:p w14:paraId="5F4D6D49">
      <w:pPr>
        <w:pStyle w:val="4"/>
        <w:adjustRightInd w:val="0"/>
        <w:snapToGrid w:val="0"/>
        <w:spacing w:line="400" w:lineRule="exact"/>
        <w:ind w:left="1278" w:leftChars="380" w:hanging="480" w:hangingChars="1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6、淮北市妇幼保健计划生育服务中心2025年一般公共预算基本支出表</w:t>
      </w:r>
    </w:p>
    <w:p w14:paraId="3BE14983">
      <w:pPr>
        <w:pStyle w:val="4"/>
        <w:adjustRightInd w:val="0"/>
        <w:snapToGrid w:val="0"/>
        <w:spacing w:line="400" w:lineRule="exact"/>
        <w:ind w:left="1278" w:leftChars="380" w:hanging="480" w:hangingChars="1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7、淮北市妇幼保健计划生育服务中心2025年政府性基金预算支出表</w:t>
      </w:r>
    </w:p>
    <w:p w14:paraId="7545A6CB">
      <w:pPr>
        <w:pStyle w:val="4"/>
        <w:adjustRightInd w:val="0"/>
        <w:snapToGrid w:val="0"/>
        <w:spacing w:line="400" w:lineRule="exact"/>
        <w:ind w:left="1278" w:leftChars="380" w:hanging="480" w:hangingChars="1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8、淮北市妇幼保健计划生育服务中心2025年国有资本经营预算支出表</w:t>
      </w:r>
    </w:p>
    <w:p w14:paraId="123653C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9、淮北市妇幼保健计划生育服务中心2025年项目支出表</w:t>
      </w:r>
    </w:p>
    <w:p w14:paraId="6DC12C90">
      <w:pPr>
        <w:pStyle w:val="4"/>
        <w:adjustRightInd w:val="0"/>
        <w:snapToGrid w:val="0"/>
        <w:spacing w:line="400" w:lineRule="exact"/>
        <w:ind w:left="1438" w:leftChars="380" w:hanging="640" w:hanging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10、淮北市妇幼保健计划生育服务中心2025年政府采购支出表</w:t>
      </w:r>
    </w:p>
    <w:p w14:paraId="67B56F19">
      <w:pPr>
        <w:pStyle w:val="4"/>
        <w:adjustRightInd w:val="0"/>
        <w:snapToGrid w:val="0"/>
        <w:spacing w:line="400" w:lineRule="exact"/>
        <w:ind w:left="1438" w:leftChars="380" w:hanging="640" w:hanging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11、淮北市妇幼保健计划生育服务中心2025年政府购买服务支出表</w:t>
      </w:r>
    </w:p>
    <w:p w14:paraId="3454862C">
      <w:pPr>
        <w:pStyle w:val="4"/>
        <w:adjustRightInd w:val="0"/>
        <w:snapToGrid w:val="0"/>
        <w:spacing w:line="400" w:lineRule="exact"/>
        <w:ind w:left="1438" w:leftChars="380" w:hanging="640" w:hanging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12、淮北市妇幼保健计划生育服务中心</w:t>
      </w:r>
      <w:r>
        <w:rPr>
          <w:rFonts w:ascii="TimesNewRoman" w:hAnsi="TimesNewRoman" w:eastAsia="仿宋_GB2312" w:cs="TimesNewRoman"/>
          <w:bCs/>
          <w:sz w:val="32"/>
          <w:szCs w:val="32"/>
        </w:rPr>
        <w:t>2025年通用资产配置支出表</w:t>
      </w:r>
    </w:p>
    <w:p w14:paraId="30441AE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5979C92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278DCF2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7DB8BFE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429116D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726BC9D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28E4D5F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53B677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7EDA90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28E9AA3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5FB041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4C777A2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657A2D7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19B6157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33CC778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4ED9AFA">
      <w:pPr>
        <w:pStyle w:val="4"/>
        <w:adjustRightInd w:val="0"/>
        <w:snapToGrid w:val="0"/>
        <w:spacing w:line="400" w:lineRule="exact"/>
        <w:ind w:left="1278" w:leftChars="380" w:hanging="480" w:hangingChars="1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1、淮北市妇幼保健计划生育服务中心2025年单位预算纳入绩效考评项目表</w:t>
      </w:r>
    </w:p>
    <w:p w14:paraId="75B50211">
      <w:pPr>
        <w:pStyle w:val="4"/>
        <w:adjustRightInd w:val="0"/>
        <w:snapToGrid w:val="0"/>
        <w:spacing w:line="400" w:lineRule="exact"/>
        <w:ind w:left="1278" w:leftChars="380" w:hanging="480" w:hangingChars="1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2、淮北市妇幼保健计划生育服务中心2025年单位预算专项资金管理清单（专栏公开）</w:t>
      </w:r>
    </w:p>
    <w:p w14:paraId="373EE05F">
      <w:pPr>
        <w:pStyle w:val="4"/>
        <w:adjustRightInd w:val="0"/>
        <w:snapToGrid w:val="0"/>
        <w:spacing w:line="400" w:lineRule="exact"/>
        <w:ind w:firstLine="800" w:firstLineChars="250"/>
        <w:rPr>
          <w:rFonts w:ascii="TimesNewRoman" w:hAnsi="TimesNewRoman" w:eastAsia="仿宋_GB2312" w:cs="TimesNewRoman"/>
          <w:bCs/>
          <w:sz w:val="32"/>
          <w:szCs w:val="32"/>
        </w:rPr>
      </w:pPr>
    </w:p>
    <w:p w14:paraId="79B4577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496E9F7A"/>
    <w:p w14:paraId="126AEE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131FF228">
      <w:pPr>
        <w:pStyle w:val="4"/>
        <w:adjustRightInd w:val="0"/>
        <w:snapToGrid w:val="0"/>
        <w:spacing w:line="360" w:lineRule="auto"/>
        <w:ind w:firstLine="784" w:firstLineChars="245"/>
        <w:rPr>
          <w:rFonts w:ascii="仿宋_GB2312" w:hAnsi="黑体" w:eastAsia="仿宋_GB2312"/>
          <w:bCs/>
          <w:sz w:val="32"/>
          <w:szCs w:val="32"/>
        </w:rPr>
      </w:pPr>
      <w:r>
        <w:rPr>
          <w:rFonts w:hint="eastAsia" w:ascii="仿宋_GB2312" w:hAnsi="黑体" w:eastAsia="仿宋_GB2312"/>
          <w:bCs/>
          <w:sz w:val="32"/>
          <w:szCs w:val="32"/>
        </w:rPr>
        <w:t>1、切实履行公共卫生职责，开展与妇女儿童健康密切相关的基本医疗服务。</w:t>
      </w:r>
    </w:p>
    <w:p w14:paraId="18452D5D">
      <w:pPr>
        <w:pStyle w:val="4"/>
        <w:adjustRightInd w:val="0"/>
        <w:snapToGrid w:val="0"/>
        <w:spacing w:line="360" w:lineRule="auto"/>
        <w:ind w:firstLine="784" w:firstLineChars="245"/>
        <w:rPr>
          <w:rFonts w:ascii="仿宋_GB2312" w:hAnsi="黑体" w:eastAsia="仿宋_GB2312"/>
          <w:bCs/>
          <w:sz w:val="32"/>
          <w:szCs w:val="32"/>
        </w:rPr>
      </w:pPr>
      <w:r>
        <w:rPr>
          <w:rFonts w:hint="eastAsia" w:ascii="仿宋_GB2312" w:hAnsi="黑体" w:eastAsia="仿宋_GB2312"/>
          <w:bCs/>
          <w:sz w:val="32"/>
          <w:szCs w:val="32"/>
        </w:rPr>
        <w:t>2、掌握本辖区妇女儿童健康状况及影响因素，协助卫生行政部门制定本辖区妇幼卫生工作的相关政策、技术规范及各项规章制度。</w:t>
      </w:r>
    </w:p>
    <w:p w14:paraId="32C9DADF">
      <w:pPr>
        <w:pStyle w:val="4"/>
        <w:adjustRightInd w:val="0"/>
        <w:snapToGrid w:val="0"/>
        <w:spacing w:line="360" w:lineRule="auto"/>
        <w:ind w:firstLine="784" w:firstLineChars="245"/>
        <w:rPr>
          <w:rFonts w:ascii="仿宋_GB2312" w:hAnsi="黑体" w:eastAsia="仿宋_GB2312"/>
          <w:bCs/>
          <w:sz w:val="32"/>
          <w:szCs w:val="32"/>
        </w:rPr>
      </w:pPr>
      <w:r>
        <w:rPr>
          <w:rFonts w:hint="eastAsia" w:ascii="仿宋_GB2312" w:hAnsi="黑体" w:eastAsia="仿宋_GB2312"/>
          <w:bCs/>
          <w:sz w:val="32"/>
          <w:szCs w:val="32"/>
        </w:rPr>
        <w:t>3、负责指导和开展本辖区的妇幼保健健康教育与健康促进工作；组织实施本辖区母婴保健技术培训，对基层医疗保健机构开展业务指导，并提供技术支持。</w:t>
      </w:r>
    </w:p>
    <w:p w14:paraId="43E1EAA6">
      <w:pPr>
        <w:pStyle w:val="4"/>
        <w:adjustRightInd w:val="0"/>
        <w:snapToGrid w:val="0"/>
        <w:spacing w:line="360" w:lineRule="auto"/>
        <w:ind w:firstLine="784" w:firstLineChars="245"/>
        <w:rPr>
          <w:rFonts w:ascii="仿宋_GB2312" w:hAnsi="黑体" w:eastAsia="仿宋_GB2312"/>
          <w:bCs/>
          <w:sz w:val="32"/>
          <w:szCs w:val="32"/>
        </w:rPr>
      </w:pPr>
      <w:r>
        <w:rPr>
          <w:rFonts w:hint="eastAsia" w:ascii="仿宋_GB2312" w:hAnsi="黑体" w:eastAsia="仿宋_GB2312"/>
          <w:bCs/>
          <w:sz w:val="32"/>
          <w:szCs w:val="32"/>
        </w:rPr>
        <w:t>4、负责本辖区孕产妇死亡、婴儿及5岁以下儿童死亡、出生缺陷监测、妇幼卫生服务及技术管理等信息的收集、统计、分析、质量控制和汇总上报。</w:t>
      </w:r>
    </w:p>
    <w:p w14:paraId="42B3B257">
      <w:pPr>
        <w:pStyle w:val="4"/>
        <w:adjustRightInd w:val="0"/>
        <w:snapToGrid w:val="0"/>
        <w:spacing w:line="360" w:lineRule="auto"/>
        <w:ind w:firstLine="784" w:firstLineChars="245"/>
        <w:rPr>
          <w:rFonts w:ascii="仿宋_GB2312" w:hAnsi="黑体" w:eastAsia="仿宋_GB2312"/>
          <w:bCs/>
          <w:sz w:val="32"/>
          <w:szCs w:val="32"/>
        </w:rPr>
      </w:pPr>
      <w:r>
        <w:rPr>
          <w:rFonts w:hint="eastAsia" w:ascii="仿宋_GB2312" w:hAnsi="黑体" w:eastAsia="仿宋_GB2312"/>
          <w:bCs/>
          <w:sz w:val="32"/>
          <w:szCs w:val="32"/>
        </w:rPr>
        <w:t>5、开展妇女保健服务，包括青春期保健、婚前和孕前保健、孕产期保健、更年期保健、老年期保健。重点加强心理卫生咨询、营养指导、计划生育技术服务、生殖道感染/性传播疾病等妇女常见病防治。</w:t>
      </w:r>
    </w:p>
    <w:p w14:paraId="1F643359">
      <w:pPr>
        <w:pStyle w:val="4"/>
        <w:adjustRightInd w:val="0"/>
        <w:snapToGrid w:val="0"/>
        <w:spacing w:line="360" w:lineRule="auto"/>
        <w:ind w:firstLine="784" w:firstLineChars="245"/>
        <w:rPr>
          <w:rFonts w:ascii="仿宋_GB2312" w:hAnsi="黑体" w:eastAsia="仿宋_GB2312"/>
          <w:bCs/>
          <w:sz w:val="32"/>
          <w:szCs w:val="32"/>
        </w:rPr>
      </w:pPr>
      <w:r>
        <w:rPr>
          <w:rFonts w:hint="eastAsia" w:ascii="仿宋_GB2312" w:hAnsi="黑体" w:eastAsia="仿宋_GB2312"/>
          <w:bCs/>
          <w:sz w:val="32"/>
          <w:szCs w:val="32"/>
        </w:rPr>
        <w:t>6、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14:paraId="129CA1CB">
      <w:pPr>
        <w:pStyle w:val="4"/>
        <w:adjustRightInd w:val="0"/>
        <w:snapToGrid w:val="0"/>
        <w:spacing w:line="360" w:lineRule="auto"/>
        <w:ind w:firstLine="784" w:firstLineChars="245"/>
        <w:rPr>
          <w:rFonts w:ascii="仿宋_GB2312" w:hAnsi="黑体" w:eastAsia="仿宋_GB2312"/>
          <w:bCs/>
          <w:sz w:val="32"/>
          <w:szCs w:val="32"/>
        </w:rPr>
      </w:pPr>
      <w:r>
        <w:rPr>
          <w:rFonts w:hint="eastAsia" w:ascii="仿宋_GB2312" w:hAnsi="黑体" w:eastAsia="仿宋_GB2312"/>
          <w:bCs/>
          <w:sz w:val="32"/>
          <w:szCs w:val="32"/>
        </w:rPr>
        <w:t>7、开展妇幼卫生、生殖健康的应用性科学研究并组织推广适宜技术。</w:t>
      </w:r>
    </w:p>
    <w:p w14:paraId="6D8401D7">
      <w:pPr>
        <w:pStyle w:val="4"/>
        <w:adjustRightInd w:val="0"/>
        <w:snapToGrid w:val="0"/>
        <w:spacing w:before="0" w:beforeAutospacing="0" w:after="0" w:afterAutospacing="0" w:line="360" w:lineRule="auto"/>
        <w:ind w:firstLine="784" w:firstLineChars="245"/>
        <w:jc w:val="both"/>
        <w:rPr>
          <w:rFonts w:ascii="仿宋_GB2312" w:hAnsi="黑体" w:eastAsia="仿宋_GB2312"/>
          <w:bCs/>
          <w:sz w:val="32"/>
          <w:szCs w:val="32"/>
        </w:rPr>
      </w:pPr>
      <w:r>
        <w:rPr>
          <w:rFonts w:hint="eastAsia" w:ascii="仿宋_GB2312" w:hAnsi="黑体" w:eastAsia="仿宋_GB2312"/>
          <w:bCs/>
          <w:sz w:val="32"/>
          <w:szCs w:val="32"/>
        </w:rPr>
        <w:t>8、提供以下基本医疗服务，包括妇女儿童常见疾病诊治、计划生育技术服务、产前筛查、新生儿疾病筛查、助产技术服务、产前诊断、产科并发症处理、新生儿危重症抢救和治疗等。</w:t>
      </w:r>
    </w:p>
    <w:p w14:paraId="2D114B8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40B4983F">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淮北市妇幼保健计划生育服务中心</w:t>
      </w:r>
      <w:r>
        <w:rPr>
          <w:rFonts w:hint="eastAsia" w:ascii="TimesNewRoman" w:hAnsi="TimesNewRoman" w:eastAsia="仿宋_GB2312" w:cs="TimesNewRoman"/>
          <w:sz w:val="32"/>
          <w:szCs w:val="32"/>
        </w:rPr>
        <w:t>2025年度部门预算仅包括本级预算，无其他下属单位预算。</w:t>
      </w:r>
    </w:p>
    <w:p w14:paraId="57A4312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5C721EAF">
      <w:pPr>
        <w:pStyle w:val="4"/>
        <w:adjustRightInd w:val="0"/>
        <w:snapToGrid w:val="0"/>
        <w:spacing w:before="0" w:beforeAutospacing="0" w:after="0" w:afterAutospacing="0" w:line="360" w:lineRule="auto"/>
        <w:ind w:firstLine="640" w:firstLineChars="200"/>
        <w:rPr>
          <w:rFonts w:ascii="黑体" w:hAnsi="黑体" w:eastAsia="黑体"/>
          <w:bCs/>
          <w:sz w:val="36"/>
          <w:szCs w:val="36"/>
        </w:rPr>
      </w:pPr>
      <w:r>
        <w:rPr>
          <w:rFonts w:hint="eastAsia" w:ascii="仿宋_GB2312" w:hAnsi="黑体" w:eastAsia="仿宋_GB2312"/>
          <w:bCs/>
          <w:sz w:val="32"/>
          <w:szCs w:val="32"/>
        </w:rPr>
        <w:t>提供以下基本医疗服务，包括妇女儿童常见疾病诊治、计划生育技术服务、产前筛查、新生儿疾病筛查、助产技术服务、产前诊断、产科并发症处理、新生儿危重症抢救、治疗和完成全市预防接种服务。</w:t>
      </w:r>
    </w:p>
    <w:p w14:paraId="6BB19D18"/>
    <w:p w14:paraId="25C676AC">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2987C8ED">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DDF59B2">
      <w:r>
        <w:t xml:space="preserve">                                        </w:t>
      </w:r>
    </w:p>
    <w:p w14:paraId="420D19C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15AF23DA"/>
    <w:p w14:paraId="5BF54C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6B5A43D7">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按照综合预算的原则，淮北市妇幼保健计划生育服务中心所有收入和支出均纳入部门预算管理。淮北市妇幼保健计划生育服务中心2025年收支总预算870.34万元，</w:t>
      </w:r>
      <w:r>
        <w:rPr>
          <w:rFonts w:hint="eastAsia" w:ascii="仿宋_GB2312" w:hAnsi="TimesNewRoman" w:eastAsia="仿宋_GB2312" w:cs="TimesNewRoman"/>
          <w:sz w:val="32"/>
          <w:szCs w:val="32"/>
        </w:rPr>
        <w:t>收入全部是一般公共预算拨款收入</w:t>
      </w:r>
      <w:r>
        <w:rPr>
          <w:rFonts w:hint="eastAsia" w:ascii="TimesNewRoman" w:hAnsi="TimesNewRoman" w:eastAsia="仿宋_GB2312" w:cs="TimesNewRoman"/>
          <w:sz w:val="32"/>
          <w:szCs w:val="32"/>
        </w:rPr>
        <w:t>870.34</w:t>
      </w:r>
      <w:r>
        <w:rPr>
          <w:rFonts w:hint="eastAsia" w:ascii="仿宋_GB2312" w:hAnsi="TimesNewRoman" w:eastAsia="仿宋_GB2312" w:cs="TimesNewRoman"/>
          <w:sz w:val="32"/>
          <w:szCs w:val="32"/>
        </w:rPr>
        <w:t>万元</w:t>
      </w:r>
      <w:r>
        <w:rPr>
          <w:rFonts w:hint="eastAsia" w:ascii="TimesNewRoman" w:hAnsi="TimesNewRoman" w:eastAsia="仿宋_GB2312" w:cs="TimesNewRoman"/>
          <w:sz w:val="32"/>
          <w:szCs w:val="32"/>
        </w:rPr>
        <w:t>，支出包括：社会保障和就业支出、卫生健康支出、住房保障支出。</w:t>
      </w:r>
    </w:p>
    <w:p w14:paraId="1EA3599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47ADB2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淮北市妇幼保健计划生育服务中心</w:t>
      </w:r>
      <w:r>
        <w:rPr>
          <w:rFonts w:hint="eastAsia" w:ascii="TimesNewRoman" w:hAnsi="TimesNewRoman" w:eastAsia="仿宋_GB2312" w:cs="TimesNewRoman"/>
          <w:kern w:val="0"/>
          <w:sz w:val="32"/>
          <w:szCs w:val="32"/>
        </w:rPr>
        <w:t>2025年收入预算870.34万元，其中，本年收入870.34万元。</w:t>
      </w:r>
    </w:p>
    <w:p w14:paraId="3D2D92F9">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（一）本年收入870.34万元，</w:t>
      </w:r>
      <w:r>
        <w:rPr>
          <w:rFonts w:hint="eastAsia" w:ascii="TimesNewRoman" w:hAnsi="TimesNewRoman" w:eastAsia="仿宋_GB2312" w:cs="TimesNewRoman"/>
          <w:kern w:val="0"/>
          <w:sz w:val="32"/>
          <w:szCs w:val="32"/>
        </w:rPr>
        <w:t>主要包括：一般公共预算拨款收入870.34万元，占100%，比2024年预算减少35.75万元，下降4.1%，原因主要是：2024年公积金基数按1.4倍计算，2025年按正常基数计算；政府性基金预算拨款收入0万元，占0%，比2024年预算增加0万元，增长0%，原因主要是：无预算；财政专户管理资金收入0万元，占0%，比2024年预算增加0万元，增长0%，原因主要是：无预算。</w:t>
      </w:r>
    </w:p>
    <w:p w14:paraId="1563F8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25CA75A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支出预算870.34万元，比2024年预算减少35.75万元，下降4.1%，原因主要是：2024年公积金基数按1.4倍计算，2025年按正常基数计算。其中，基本支出868.74万元，占99.8%，主要用于保障机构日常运转、完成日常工作任务；项目支出1.6万元，占0.2%，主要用于：保障单位日常运转电费。</w:t>
      </w:r>
    </w:p>
    <w:p w14:paraId="0AE7567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421494C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财政拨款收支预算870.34万元。收入按资金来源分为：一般公共预算拨款870.34万元、政府性基金预算拨款0万元；按资金年度分为：本年财政拨款收入870.34万元。支出按功能分类分为：社会保障和就业支出132.4万元，占15.22%；卫生健康支出651.71万元，占74.87%；住房保障支出86.23万元，占9.91%。</w:t>
      </w:r>
    </w:p>
    <w:p w14:paraId="4E146DB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18D74C6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7A4FBF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一般公共预算支出870.34万元，比2024年预算减少35.75万元，下降4.1%，主要原因：2024年公积金基数按1.4倍计算，2025年按正常基数计算；2024年绩效按1.2倍测算，2025年工资绩效按1倍测算。</w:t>
      </w:r>
    </w:p>
    <w:p w14:paraId="583EBDA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0A12B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一般公共服务支出870.34万元，占100%；社会保障和就业支出132.4万元，占15.22%；卫生健康支出651.71万元，占74.87%；住房保障支出86.23万元，占9.91%。</w:t>
      </w:r>
    </w:p>
    <w:p w14:paraId="25B21366">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415CD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b/>
          <w:kern w:val="0"/>
          <w:sz w:val="32"/>
          <w:szCs w:val="32"/>
        </w:rPr>
        <w:t>社会保障和就业支出（类）行政事业单位离退休（款）事业单位离退休（项）</w:t>
      </w:r>
      <w:r>
        <w:rPr>
          <w:rFonts w:hint="eastAsia" w:ascii="TimesNewRoman" w:hAnsi="TimesNewRoman" w:eastAsia="仿宋_GB2312" w:cs="TimesNewRoman"/>
          <w:kern w:val="0"/>
          <w:sz w:val="32"/>
          <w:szCs w:val="32"/>
        </w:rPr>
        <w:t>2025年预算132.4万元，比2024年预算减少108.28万元，下降45%，原因主要是：调整功能科目上，调整到卫生健康支出中。</w:t>
      </w:r>
    </w:p>
    <w:p w14:paraId="4E7ADC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hAnsi="仿宋" w:eastAsia="仿宋_GB2312"/>
          <w:b/>
          <w:kern w:val="0"/>
          <w:sz w:val="32"/>
          <w:szCs w:val="32"/>
        </w:rPr>
        <w:t>卫生健康支出（类）卫生健康管理事务（款）妇幼保健机构（项）</w:t>
      </w:r>
      <w:r>
        <w:rPr>
          <w:rFonts w:hint="eastAsia" w:ascii="TimesNewRoman" w:hAnsi="TimesNewRoman" w:eastAsia="仿宋_GB2312" w:cs="TimesNewRoman"/>
          <w:kern w:val="0"/>
          <w:sz w:val="32"/>
          <w:szCs w:val="32"/>
        </w:rPr>
        <w:t>2025年预算651.71万元，比2024年预算增加108.73万元，增长16.68%，原因主要是：调整功能科目上，从社会保障支出调整到卫生健康支出中。</w:t>
      </w:r>
    </w:p>
    <w:p w14:paraId="04151A8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w:t>
      </w:r>
      <w:r>
        <w:rPr>
          <w:rFonts w:hint="eastAsia" w:ascii="TimesNewRoman" w:hAnsi="TimesNewRoman" w:eastAsia="仿宋_GB2312" w:cs="TimesNewRoman"/>
          <w:b/>
          <w:kern w:val="0"/>
          <w:sz w:val="32"/>
          <w:szCs w:val="32"/>
        </w:rPr>
        <w:t>住房保障支出（类）住房改革支出（款）住房公积金（项）</w:t>
      </w:r>
      <w:r>
        <w:rPr>
          <w:rFonts w:hint="eastAsia" w:ascii="TimesNewRoman" w:hAnsi="TimesNewRoman" w:eastAsia="仿宋_GB2312" w:cs="TimesNewRoman"/>
          <w:kern w:val="0"/>
          <w:sz w:val="32"/>
          <w:szCs w:val="32"/>
        </w:rPr>
        <w:t>2025年预算86.23万元，比2024年预算减少36.2万元，下降29.57%，原因主要是：2024年公积金基数按1.4倍计算，2025年按正常基数计算。</w:t>
      </w:r>
    </w:p>
    <w:p w14:paraId="79FA31A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7F718D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淮北市妇幼保健计划生育服务中心2025年一般公共预算基本支出870.34万元，其中，人员经费825.59万元，公用经费43.15万元。</w:t>
      </w:r>
    </w:p>
    <w:p w14:paraId="2F1B44E9">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rPr>
        <w:t>825.59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14:paraId="740398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kern w:val="0"/>
          <w:sz w:val="32"/>
          <w:szCs w:val="32"/>
        </w:rPr>
        <w:t>43.15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水费、电费、邮电费、取暖费、物业管理费、差旅费、因公出国（境）费、维修（护）费、租赁费、会议费、培训费、公务接待费、专用材料费、被装购置费、专用燃料费、劳务费、委托业务费、公务用车运行维护费、其他交通费用、税金及附加费用、其他商品服务支出、房屋建筑物购建、办公设备购置、专用设备购置、基础设施建设、大型修缮、信息网络及软件购置更新、公务用车购置、其他交通工具购置、无形资产购置等。</w:t>
      </w:r>
    </w:p>
    <w:p w14:paraId="2BD6A99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28FC007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淮北市妇幼保健计划生育服务中心2025年没有政府性基金预算拨款收入，也没有使用政府性基金预算拨款安排的支出。</w:t>
      </w:r>
    </w:p>
    <w:p w14:paraId="4EB3EB3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16D41D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淮北市妇幼保健计划生育服务中心2025年没有国有资本经营预算拨款收入，也没有使用国有资本经营预算拨款安排的支出。</w:t>
      </w:r>
    </w:p>
    <w:p w14:paraId="315BD8F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32781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预算共安排项目支出1.6万元，比2024年预算减少0.4万元，下降20%，原因主要是：政策性压减。主要包括：本年财政拨款安排1.6万元（其中，一般公共预算拨款安排0万元，政府性基金预算拨款安排0万元），财政专户管理资金安排0万元。</w:t>
      </w:r>
    </w:p>
    <w:p w14:paraId="661491F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11C0050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淮北市妇幼保健计划生育服务中心2025年没有使用一般公共预算拨款、政府性基金预算拨款、国有资本经营预算拨款、财政专户管理资金和单位资金安排的政府采购支出。</w:t>
      </w:r>
    </w:p>
    <w:p w14:paraId="2A9001F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36AEDB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淮北市妇幼保健计划生育服务中心2025年没有安排政府购买服务支出。</w:t>
      </w:r>
    </w:p>
    <w:p w14:paraId="03A8F62A">
      <w:pPr>
        <w:pStyle w:val="4"/>
        <w:adjustRightInd w:val="0"/>
        <w:snapToGrid w:val="0"/>
        <w:spacing w:line="560" w:lineRule="exact"/>
        <w:ind w:firstLine="640" w:firstLineChars="200"/>
        <w:rPr>
          <w:rFonts w:ascii="TimesNewRoman" w:hAnsi="TimesNewRoman" w:eastAsia="黑体" w:cs="TimesNewRoman"/>
          <w:sz w:val="32"/>
          <w:szCs w:val="32"/>
        </w:rPr>
      </w:pPr>
      <w:r>
        <w:rPr>
          <w:rFonts w:hint="eastAsia" w:ascii="TimesNewRoman" w:hAnsi="TimesNewRoman" w:eastAsia="黑体" w:cs="TimesNewRoman"/>
          <w:sz w:val="32"/>
          <w:szCs w:val="32"/>
        </w:rPr>
        <w:t>十二、关于</w:t>
      </w:r>
      <w:r>
        <w:rPr>
          <w:rFonts w:ascii="TimesNewRoman" w:hAnsi="TimesNewRoman" w:eastAsia="黑体" w:cs="TimesNewRoman"/>
          <w:sz w:val="32"/>
          <w:szCs w:val="32"/>
        </w:rPr>
        <w:t>2025</w:t>
      </w:r>
      <w:r>
        <w:rPr>
          <w:rFonts w:hint="eastAsia" w:ascii="TimesNewRoman" w:hAnsi="TimesNewRoman" w:eastAsia="黑体" w:cs="TimesNewRoman"/>
          <w:sz w:val="32"/>
          <w:szCs w:val="32"/>
        </w:rPr>
        <w:t>年通用资产配置支出表的说明</w:t>
      </w:r>
    </w:p>
    <w:p w14:paraId="49BF648B">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淮北市妇幼保健计划生育服务中心</w:t>
      </w:r>
      <w:r>
        <w:rPr>
          <w:rFonts w:ascii="TimesNewRoman" w:hAnsi="TimesNewRoman" w:eastAsia="仿宋_GB2312" w:cs="TimesNewRoman"/>
          <w:sz w:val="32"/>
          <w:szCs w:val="32"/>
        </w:rPr>
        <w:t>2025</w:t>
      </w:r>
      <w:r>
        <w:rPr>
          <w:rFonts w:hint="eastAsia" w:ascii="TimesNewRoman" w:hAnsi="TimesNewRoman" w:eastAsia="仿宋_GB2312" w:cs="TimesNewRoman"/>
          <w:sz w:val="32"/>
          <w:szCs w:val="32"/>
        </w:rPr>
        <w:t>年没有安排通用资产配置支出。</w:t>
      </w:r>
    </w:p>
    <w:p w14:paraId="785A02F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1996DE6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69ACE8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1、“站所规范化建设”项目。</w:t>
      </w:r>
    </w:p>
    <w:p w14:paraId="7045A25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0FA090B6">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淮北市妇幼保健计划生育服务中心集生育、生殖保健服务、儿童保健和医疗为一体的专业服务单位，承担着全市计划生育倡导、信息咨询和全市预防接种等一体的医疗保健中心。</w:t>
      </w:r>
    </w:p>
    <w:p w14:paraId="1FDF31D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p>
    <w:p w14:paraId="20C39EA3">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《中华人民共和国传染病防治法》</w:t>
      </w:r>
    </w:p>
    <w:p w14:paraId="721A511F">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《疫苗流通和预防接种管理条例》</w:t>
      </w:r>
    </w:p>
    <w:p w14:paraId="18676F0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p>
    <w:p w14:paraId="01C5FBA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w:t>
      </w:r>
    </w:p>
    <w:p w14:paraId="3D48AF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p>
    <w:p w14:paraId="63A4F50B">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2025</w:t>
      </w:r>
      <w:r>
        <w:rPr>
          <w:rFonts w:hint="eastAsia" w:ascii="TimesNewRoman" w:hAnsi="TimesNewRoman" w:eastAsia="仿宋_GB2312" w:cs="TimesNewRoman"/>
          <w:kern w:val="0"/>
          <w:sz w:val="32"/>
          <w:szCs w:val="32"/>
        </w:rPr>
        <w:t>年</w:t>
      </w: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月</w:t>
      </w:r>
      <w:r>
        <w:rPr>
          <w:rFonts w:ascii="TimesNewRoman" w:hAnsi="TimesNewRoman" w:eastAsia="仿宋_GB2312" w:cs="TimesNewRoman"/>
          <w:kern w:val="0"/>
          <w:sz w:val="32"/>
          <w:szCs w:val="32"/>
        </w:rPr>
        <w:t>-2025</w:t>
      </w:r>
      <w:r>
        <w:rPr>
          <w:rFonts w:hint="eastAsia" w:ascii="TimesNewRoman" w:hAnsi="TimesNewRoman" w:eastAsia="仿宋_GB2312" w:cs="TimesNewRoman"/>
          <w:kern w:val="0"/>
          <w:sz w:val="32"/>
          <w:szCs w:val="32"/>
        </w:rPr>
        <w:t>年</w:t>
      </w:r>
      <w:r>
        <w:rPr>
          <w:rFonts w:ascii="TimesNewRoman" w:hAnsi="TimesNewRoman" w:eastAsia="仿宋_GB2312" w:cs="TimesNewRoman"/>
          <w:kern w:val="0"/>
          <w:sz w:val="32"/>
          <w:szCs w:val="32"/>
        </w:rPr>
        <w:t>12</w:t>
      </w:r>
      <w:r>
        <w:rPr>
          <w:rFonts w:hint="eastAsia" w:ascii="TimesNewRoman" w:hAnsi="TimesNewRoman" w:eastAsia="仿宋_GB2312" w:cs="TimesNewRoman"/>
          <w:kern w:val="0"/>
          <w:sz w:val="32"/>
          <w:szCs w:val="32"/>
        </w:rPr>
        <w:t>月</w:t>
      </w:r>
    </w:p>
    <w:p w14:paraId="78B9EE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4A663208">
      <w:pPr>
        <w:spacing w:line="600" w:lineRule="exact"/>
        <w:ind w:firstLine="642"/>
        <w:rPr>
          <w:rFonts w:ascii="仿宋_GB2312" w:hAnsi="仿宋_GB2312" w:eastAsia="仿宋_GB2312" w:cs="仿宋_GB2312"/>
          <w:bCs/>
          <w:sz w:val="30"/>
          <w:szCs w:val="30"/>
        </w:rPr>
      </w:pPr>
      <w:r>
        <w:rPr>
          <w:rFonts w:hint="eastAsia" w:ascii="仿宋_GB2312" w:hAnsi="楷体" w:eastAsia="仿宋_GB2312"/>
          <w:sz w:val="32"/>
          <w:szCs w:val="32"/>
        </w:rPr>
        <w:t>用于日常工作能源消耗电费。</w:t>
      </w:r>
    </w:p>
    <w:p w14:paraId="51A3A3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p>
    <w:p w14:paraId="261C189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年度预算</w:t>
      </w:r>
      <w:r>
        <w:rPr>
          <w:rFonts w:ascii="TimesNewRoman" w:hAnsi="TimesNewRoman" w:eastAsia="仿宋_GB2312" w:cs="TimesNewRoman"/>
          <w:kern w:val="0"/>
          <w:sz w:val="32"/>
          <w:szCs w:val="32"/>
        </w:rPr>
        <w:t>1.6</w:t>
      </w:r>
      <w:r>
        <w:rPr>
          <w:rFonts w:hint="eastAsia" w:ascii="TimesNewRoman" w:hAnsi="TimesNewRoman" w:eastAsia="仿宋_GB2312" w:cs="TimesNewRoman"/>
          <w:kern w:val="0"/>
          <w:sz w:val="32"/>
          <w:szCs w:val="32"/>
        </w:rPr>
        <w:t>万元。</w:t>
      </w:r>
    </w:p>
    <w:p w14:paraId="63256B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C7C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AD0C95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55F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99A9C9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91A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577A09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016072C">
            <w:pPr>
              <w:jc w:val="center"/>
              <w:rPr>
                <w:rFonts w:ascii="宋体" w:cs="宋体"/>
                <w:sz w:val="20"/>
              </w:rPr>
            </w:pPr>
            <w:r>
              <w:rPr>
                <w:rFonts w:hint="eastAsia" w:ascii="宋体" w:cs="宋体"/>
                <w:sz w:val="20"/>
              </w:rPr>
              <w:t>站所规范化建设</w:t>
            </w:r>
          </w:p>
        </w:tc>
      </w:tr>
      <w:tr w14:paraId="00EB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3" w:type="dxa"/>
            <w:gridSpan w:val="3"/>
            <w:tcBorders>
              <w:tl2br w:val="nil"/>
              <w:tr2bl w:val="nil"/>
            </w:tcBorders>
            <w:vAlign w:val="center"/>
          </w:tcPr>
          <w:p w14:paraId="3852C3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68C6353">
            <w:pPr>
              <w:jc w:val="center"/>
              <w:rPr>
                <w:rFonts w:ascii="宋体" w:cs="宋体"/>
                <w:szCs w:val="21"/>
              </w:rPr>
            </w:pPr>
            <w:r>
              <w:rPr>
                <w:rFonts w:hint="eastAsia" w:ascii="宋体" w:cs="宋体"/>
                <w:szCs w:val="21"/>
              </w:rPr>
              <w:t>淮北市卫生健康委员会</w:t>
            </w:r>
          </w:p>
        </w:tc>
        <w:tc>
          <w:tcPr>
            <w:tcW w:w="1848" w:type="dxa"/>
            <w:tcBorders>
              <w:tl2br w:val="nil"/>
              <w:tr2bl w:val="nil"/>
            </w:tcBorders>
            <w:vAlign w:val="center"/>
          </w:tcPr>
          <w:p w14:paraId="2E0B19C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18035E5">
            <w:pPr>
              <w:jc w:val="center"/>
            </w:pPr>
            <w:r>
              <w:rPr>
                <w:rFonts w:hint="eastAsia"/>
              </w:rPr>
              <w:t>淮北市妇幼保健计划生育服务中心</w:t>
            </w:r>
          </w:p>
        </w:tc>
      </w:tr>
      <w:tr w14:paraId="3A85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D21849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CEC0EB4">
            <w:pPr>
              <w:jc w:val="center"/>
              <w:rPr>
                <w:rFonts w:ascii="宋体" w:cs="宋体"/>
                <w:sz w:val="20"/>
              </w:rPr>
            </w:pPr>
            <w:r>
              <w:rPr>
                <w:rFonts w:hint="eastAsia" w:ascii="宋体" w:cs="宋体"/>
                <w:sz w:val="20"/>
              </w:rPr>
              <w:t>财政拨款</w:t>
            </w:r>
          </w:p>
        </w:tc>
        <w:tc>
          <w:tcPr>
            <w:tcW w:w="1848" w:type="dxa"/>
            <w:tcBorders>
              <w:tl2br w:val="nil"/>
              <w:tr2bl w:val="nil"/>
            </w:tcBorders>
            <w:vAlign w:val="center"/>
          </w:tcPr>
          <w:p w14:paraId="1AE19DB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2E2E7F2">
            <w:pPr>
              <w:jc w:val="center"/>
            </w:pPr>
            <w:r>
              <w:rPr>
                <w:rFonts w:hint="eastAsia"/>
              </w:rPr>
              <w:t>2025年</w:t>
            </w:r>
          </w:p>
        </w:tc>
      </w:tr>
      <w:tr w14:paraId="6F58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B570305">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D49AC5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BF54D31">
            <w:pPr>
              <w:jc w:val="center"/>
              <w:rPr>
                <w:rFonts w:ascii="宋体" w:cs="宋体"/>
                <w:sz w:val="20"/>
              </w:rPr>
            </w:pPr>
            <w:r>
              <w:rPr>
                <w:rFonts w:hint="eastAsia" w:ascii="宋体" w:cs="宋体"/>
                <w:sz w:val="20"/>
              </w:rPr>
              <w:t>1.6万元</w:t>
            </w:r>
          </w:p>
        </w:tc>
      </w:tr>
      <w:tr w14:paraId="504A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12310C3">
            <w:pPr>
              <w:jc w:val="center"/>
              <w:rPr>
                <w:rFonts w:ascii="宋体" w:cs="宋体"/>
                <w:sz w:val="20"/>
              </w:rPr>
            </w:pPr>
          </w:p>
        </w:tc>
        <w:tc>
          <w:tcPr>
            <w:tcW w:w="3349" w:type="dxa"/>
            <w:gridSpan w:val="2"/>
            <w:tcBorders>
              <w:tl2br w:val="nil"/>
              <w:tr2bl w:val="nil"/>
            </w:tcBorders>
            <w:vAlign w:val="center"/>
          </w:tcPr>
          <w:p w14:paraId="6639484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C68FB14">
            <w:pPr>
              <w:jc w:val="center"/>
              <w:rPr>
                <w:rFonts w:ascii="宋体" w:cs="宋体"/>
                <w:sz w:val="20"/>
              </w:rPr>
            </w:pPr>
            <w:r>
              <w:rPr>
                <w:rFonts w:hint="eastAsia" w:ascii="宋体" w:cs="宋体"/>
                <w:sz w:val="20"/>
              </w:rPr>
              <w:t>1.6万元</w:t>
            </w:r>
          </w:p>
        </w:tc>
      </w:tr>
      <w:tr w14:paraId="3DA1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CE09A07">
            <w:pPr>
              <w:jc w:val="center"/>
              <w:rPr>
                <w:rFonts w:ascii="宋体" w:cs="宋体"/>
                <w:sz w:val="20"/>
              </w:rPr>
            </w:pPr>
          </w:p>
        </w:tc>
        <w:tc>
          <w:tcPr>
            <w:tcW w:w="3349" w:type="dxa"/>
            <w:gridSpan w:val="2"/>
            <w:tcBorders>
              <w:tl2br w:val="nil"/>
              <w:tr2bl w:val="nil"/>
            </w:tcBorders>
            <w:vAlign w:val="center"/>
          </w:tcPr>
          <w:p w14:paraId="43F174F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187D0A2">
            <w:pPr>
              <w:jc w:val="center"/>
              <w:rPr>
                <w:rFonts w:ascii="宋体" w:cs="宋体"/>
                <w:sz w:val="20"/>
              </w:rPr>
            </w:pPr>
          </w:p>
        </w:tc>
      </w:tr>
      <w:tr w14:paraId="7FEE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E3EA5B">
            <w:pPr>
              <w:jc w:val="center"/>
              <w:rPr>
                <w:rFonts w:ascii="宋体" w:cs="宋体"/>
                <w:sz w:val="20"/>
              </w:rPr>
            </w:pPr>
          </w:p>
        </w:tc>
        <w:tc>
          <w:tcPr>
            <w:tcW w:w="3349" w:type="dxa"/>
            <w:gridSpan w:val="2"/>
            <w:tcBorders>
              <w:tl2br w:val="nil"/>
              <w:tr2bl w:val="nil"/>
            </w:tcBorders>
            <w:vAlign w:val="center"/>
          </w:tcPr>
          <w:p w14:paraId="705F03E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48F3194">
            <w:pPr>
              <w:jc w:val="right"/>
              <w:rPr>
                <w:rFonts w:ascii="宋体" w:cs="宋体"/>
                <w:sz w:val="20"/>
              </w:rPr>
            </w:pPr>
          </w:p>
        </w:tc>
      </w:tr>
      <w:tr w14:paraId="761B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F5475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9DCBAD1">
            <w:pPr>
              <w:jc w:val="left"/>
              <w:rPr>
                <w:rFonts w:ascii="宋体" w:cs="宋体"/>
                <w:sz w:val="20"/>
              </w:rPr>
            </w:pPr>
            <w:r>
              <w:rPr>
                <w:rFonts w:hint="eastAsia" w:ascii="宋体" w:cs="宋体"/>
                <w:sz w:val="20"/>
              </w:rPr>
              <w:t>保障工作日常正常运行</w:t>
            </w:r>
          </w:p>
        </w:tc>
      </w:tr>
      <w:tr w14:paraId="2F06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CDFD98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D969D4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358D6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96CF15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3CB552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77C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8" w:type="dxa"/>
            <w:vMerge w:val="continue"/>
            <w:tcBorders>
              <w:tl2br w:val="nil"/>
              <w:tr2bl w:val="nil"/>
            </w:tcBorders>
            <w:vAlign w:val="center"/>
          </w:tcPr>
          <w:p w14:paraId="37464D05">
            <w:pPr>
              <w:jc w:val="center"/>
              <w:rPr>
                <w:rFonts w:ascii="宋体" w:cs="宋体"/>
                <w:sz w:val="20"/>
              </w:rPr>
            </w:pPr>
          </w:p>
        </w:tc>
        <w:tc>
          <w:tcPr>
            <w:tcW w:w="723" w:type="dxa"/>
            <w:vMerge w:val="restart"/>
            <w:tcBorders>
              <w:tl2br w:val="nil"/>
              <w:tr2bl w:val="nil"/>
            </w:tcBorders>
            <w:vAlign w:val="center"/>
          </w:tcPr>
          <w:p w14:paraId="5C88C9C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076FA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F5BD3C5">
            <w:pPr>
              <w:widowControl/>
              <w:jc w:val="left"/>
              <w:textAlignment w:val="center"/>
              <w:rPr>
                <w:rFonts w:ascii="宋体" w:cs="宋体"/>
                <w:sz w:val="20"/>
              </w:rPr>
            </w:pPr>
            <w:r>
              <w:rPr>
                <w:rFonts w:hint="eastAsia" w:ascii="宋体" w:hAnsi="宋体" w:eastAsia="宋体" w:cs="宋体"/>
                <w:color w:val="000000"/>
                <w:kern w:val="0"/>
                <w:sz w:val="20"/>
                <w:szCs w:val="20"/>
              </w:rPr>
              <w:t>指标1：按项目金额</w:t>
            </w:r>
          </w:p>
        </w:tc>
        <w:tc>
          <w:tcPr>
            <w:tcW w:w="4228" w:type="dxa"/>
            <w:gridSpan w:val="2"/>
            <w:tcBorders>
              <w:tl2br w:val="nil"/>
              <w:tr2bl w:val="nil"/>
            </w:tcBorders>
            <w:vAlign w:val="center"/>
          </w:tcPr>
          <w:p w14:paraId="6F2CC93B">
            <w:pPr>
              <w:jc w:val="center"/>
              <w:rPr>
                <w:rFonts w:ascii="宋体" w:cs="宋体"/>
                <w:sz w:val="20"/>
              </w:rPr>
            </w:pPr>
            <w:r>
              <w:rPr>
                <w:rFonts w:hint="eastAsia" w:ascii="宋体" w:cs="宋体"/>
                <w:sz w:val="20"/>
              </w:rPr>
              <w:t>1.6万元</w:t>
            </w:r>
          </w:p>
        </w:tc>
      </w:tr>
      <w:tr w14:paraId="2F6B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38" w:type="dxa"/>
            <w:vMerge w:val="continue"/>
            <w:tcBorders>
              <w:tl2br w:val="nil"/>
              <w:tr2bl w:val="nil"/>
            </w:tcBorders>
            <w:vAlign w:val="center"/>
          </w:tcPr>
          <w:p w14:paraId="448B770A">
            <w:pPr>
              <w:jc w:val="center"/>
              <w:rPr>
                <w:rFonts w:ascii="宋体" w:cs="宋体"/>
                <w:sz w:val="20"/>
              </w:rPr>
            </w:pPr>
          </w:p>
        </w:tc>
        <w:tc>
          <w:tcPr>
            <w:tcW w:w="723" w:type="dxa"/>
            <w:vMerge w:val="continue"/>
            <w:tcBorders>
              <w:tl2br w:val="nil"/>
              <w:tr2bl w:val="nil"/>
            </w:tcBorders>
            <w:vAlign w:val="center"/>
          </w:tcPr>
          <w:p w14:paraId="20191631">
            <w:pPr>
              <w:jc w:val="center"/>
              <w:rPr>
                <w:rFonts w:ascii="宋体" w:cs="宋体"/>
                <w:sz w:val="20"/>
              </w:rPr>
            </w:pPr>
          </w:p>
        </w:tc>
        <w:tc>
          <w:tcPr>
            <w:tcW w:w="759" w:type="dxa"/>
            <w:gridSpan w:val="2"/>
            <w:tcBorders>
              <w:tl2br w:val="nil"/>
              <w:tr2bl w:val="nil"/>
            </w:tcBorders>
            <w:vAlign w:val="center"/>
          </w:tcPr>
          <w:p w14:paraId="4BAA0D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F40ED13">
            <w:pPr>
              <w:widowControl/>
              <w:jc w:val="left"/>
              <w:textAlignment w:val="center"/>
              <w:rPr>
                <w:rFonts w:ascii="宋体" w:cs="宋体"/>
                <w:sz w:val="20"/>
              </w:rPr>
            </w:pPr>
            <w:r>
              <w:rPr>
                <w:rFonts w:hint="eastAsia" w:ascii="宋体" w:hAnsi="宋体" w:eastAsia="宋体" w:cs="宋体"/>
                <w:color w:val="000000"/>
                <w:kern w:val="0"/>
                <w:sz w:val="20"/>
                <w:szCs w:val="20"/>
              </w:rPr>
              <w:t>指标1：保障单位正常运转</w:t>
            </w:r>
          </w:p>
        </w:tc>
        <w:tc>
          <w:tcPr>
            <w:tcW w:w="4228" w:type="dxa"/>
            <w:gridSpan w:val="2"/>
            <w:tcBorders>
              <w:tl2br w:val="nil"/>
              <w:tr2bl w:val="nil"/>
            </w:tcBorders>
            <w:vAlign w:val="center"/>
          </w:tcPr>
          <w:p w14:paraId="719020DF">
            <w:pPr>
              <w:jc w:val="center"/>
              <w:rPr>
                <w:rFonts w:ascii="宋体" w:cs="宋体"/>
                <w:sz w:val="20"/>
              </w:rPr>
            </w:pPr>
            <w:r>
              <w:rPr>
                <w:rFonts w:hint="eastAsia" w:ascii="宋体" w:cs="宋体"/>
                <w:sz w:val="20"/>
              </w:rPr>
              <w:t>正常运转</w:t>
            </w:r>
          </w:p>
        </w:tc>
      </w:tr>
      <w:tr w14:paraId="7244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8" w:type="dxa"/>
            <w:vMerge w:val="continue"/>
            <w:tcBorders>
              <w:tl2br w:val="nil"/>
              <w:tr2bl w:val="nil"/>
            </w:tcBorders>
            <w:vAlign w:val="center"/>
          </w:tcPr>
          <w:p w14:paraId="10E98040">
            <w:pPr>
              <w:jc w:val="center"/>
              <w:rPr>
                <w:rFonts w:ascii="宋体" w:cs="宋体"/>
                <w:sz w:val="20"/>
              </w:rPr>
            </w:pPr>
          </w:p>
        </w:tc>
        <w:tc>
          <w:tcPr>
            <w:tcW w:w="723" w:type="dxa"/>
            <w:vMerge w:val="continue"/>
            <w:tcBorders>
              <w:tl2br w:val="nil"/>
              <w:tr2bl w:val="nil"/>
            </w:tcBorders>
            <w:vAlign w:val="center"/>
          </w:tcPr>
          <w:p w14:paraId="0862849A">
            <w:pPr>
              <w:jc w:val="center"/>
              <w:rPr>
                <w:rFonts w:ascii="宋体" w:cs="宋体"/>
                <w:sz w:val="20"/>
              </w:rPr>
            </w:pPr>
          </w:p>
        </w:tc>
        <w:tc>
          <w:tcPr>
            <w:tcW w:w="759" w:type="dxa"/>
            <w:gridSpan w:val="2"/>
            <w:tcBorders>
              <w:tl2br w:val="nil"/>
              <w:tr2bl w:val="nil"/>
            </w:tcBorders>
            <w:vAlign w:val="center"/>
          </w:tcPr>
          <w:p w14:paraId="0B75A61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CFD1ADC">
            <w:pPr>
              <w:widowControl/>
              <w:jc w:val="left"/>
              <w:textAlignment w:val="center"/>
              <w:rPr>
                <w:rFonts w:ascii="宋体" w:cs="宋体"/>
                <w:sz w:val="20"/>
              </w:rPr>
            </w:pPr>
            <w:r>
              <w:rPr>
                <w:rFonts w:hint="eastAsia" w:ascii="宋体" w:hAnsi="宋体" w:eastAsia="宋体" w:cs="宋体"/>
                <w:color w:val="000000"/>
                <w:kern w:val="0"/>
                <w:sz w:val="20"/>
                <w:szCs w:val="20"/>
              </w:rPr>
              <w:t>指标1：按月支付</w:t>
            </w:r>
          </w:p>
        </w:tc>
        <w:tc>
          <w:tcPr>
            <w:tcW w:w="4228" w:type="dxa"/>
            <w:gridSpan w:val="2"/>
            <w:tcBorders>
              <w:tl2br w:val="nil"/>
              <w:tr2bl w:val="nil"/>
            </w:tcBorders>
            <w:vAlign w:val="center"/>
          </w:tcPr>
          <w:p w14:paraId="6F76F68C">
            <w:pPr>
              <w:jc w:val="center"/>
              <w:rPr>
                <w:rFonts w:ascii="宋体" w:cs="宋体"/>
                <w:sz w:val="20"/>
              </w:rPr>
            </w:pPr>
            <w:r>
              <w:rPr>
                <w:rFonts w:hint="eastAsia" w:ascii="宋体" w:cs="宋体"/>
                <w:sz w:val="20"/>
              </w:rPr>
              <w:t>12月</w:t>
            </w:r>
          </w:p>
        </w:tc>
      </w:tr>
      <w:tr w14:paraId="1ABC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38" w:type="dxa"/>
            <w:vMerge w:val="continue"/>
            <w:tcBorders>
              <w:tl2br w:val="nil"/>
              <w:tr2bl w:val="nil"/>
            </w:tcBorders>
            <w:vAlign w:val="center"/>
          </w:tcPr>
          <w:p w14:paraId="0D1A7483">
            <w:pPr>
              <w:jc w:val="center"/>
              <w:rPr>
                <w:rFonts w:ascii="宋体" w:cs="宋体"/>
                <w:sz w:val="20"/>
              </w:rPr>
            </w:pPr>
          </w:p>
        </w:tc>
        <w:tc>
          <w:tcPr>
            <w:tcW w:w="723" w:type="dxa"/>
            <w:vMerge w:val="continue"/>
            <w:tcBorders>
              <w:tl2br w:val="nil"/>
              <w:tr2bl w:val="nil"/>
            </w:tcBorders>
            <w:vAlign w:val="center"/>
          </w:tcPr>
          <w:p w14:paraId="76D735B0">
            <w:pPr>
              <w:jc w:val="center"/>
              <w:rPr>
                <w:rFonts w:ascii="宋体" w:cs="宋体"/>
                <w:sz w:val="20"/>
              </w:rPr>
            </w:pPr>
          </w:p>
        </w:tc>
        <w:tc>
          <w:tcPr>
            <w:tcW w:w="759" w:type="dxa"/>
            <w:gridSpan w:val="2"/>
            <w:tcBorders>
              <w:tl2br w:val="nil"/>
              <w:tr2bl w:val="nil"/>
            </w:tcBorders>
            <w:vAlign w:val="center"/>
          </w:tcPr>
          <w:p w14:paraId="6D1D1F4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8EBB879">
            <w:pPr>
              <w:widowControl/>
              <w:jc w:val="left"/>
              <w:textAlignment w:val="center"/>
              <w:rPr>
                <w:rFonts w:ascii="宋体" w:cs="宋体"/>
                <w:sz w:val="20"/>
              </w:rPr>
            </w:pPr>
            <w:r>
              <w:rPr>
                <w:rFonts w:hint="eastAsia" w:ascii="宋体" w:hAnsi="宋体" w:eastAsia="宋体" w:cs="宋体"/>
                <w:color w:val="000000"/>
                <w:kern w:val="0"/>
                <w:sz w:val="20"/>
                <w:szCs w:val="20"/>
              </w:rPr>
              <w:t>指标1：定额成本</w:t>
            </w:r>
          </w:p>
        </w:tc>
        <w:tc>
          <w:tcPr>
            <w:tcW w:w="4228" w:type="dxa"/>
            <w:gridSpan w:val="2"/>
            <w:tcBorders>
              <w:tl2br w:val="nil"/>
              <w:tr2bl w:val="nil"/>
            </w:tcBorders>
            <w:vAlign w:val="center"/>
          </w:tcPr>
          <w:p w14:paraId="0C4EDB5A">
            <w:pPr>
              <w:jc w:val="center"/>
              <w:rPr>
                <w:rFonts w:ascii="宋体" w:cs="宋体"/>
                <w:sz w:val="20"/>
              </w:rPr>
            </w:pPr>
            <w:r>
              <w:rPr>
                <w:rFonts w:hint="eastAsia" w:ascii="宋体" w:cs="宋体"/>
                <w:sz w:val="20"/>
              </w:rPr>
              <w:t>定额成本</w:t>
            </w:r>
          </w:p>
        </w:tc>
      </w:tr>
      <w:tr w14:paraId="112C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38" w:type="dxa"/>
            <w:vMerge w:val="continue"/>
            <w:tcBorders>
              <w:tl2br w:val="nil"/>
              <w:tr2bl w:val="nil"/>
            </w:tcBorders>
            <w:vAlign w:val="center"/>
          </w:tcPr>
          <w:p w14:paraId="17BF06E6">
            <w:pPr>
              <w:jc w:val="center"/>
              <w:rPr>
                <w:rFonts w:ascii="宋体" w:cs="宋体"/>
                <w:sz w:val="20"/>
              </w:rPr>
            </w:pPr>
          </w:p>
        </w:tc>
        <w:tc>
          <w:tcPr>
            <w:tcW w:w="723" w:type="dxa"/>
            <w:vMerge w:val="restart"/>
            <w:tcBorders>
              <w:tl2br w:val="nil"/>
              <w:tr2bl w:val="nil"/>
            </w:tcBorders>
            <w:vAlign w:val="center"/>
          </w:tcPr>
          <w:p w14:paraId="58E8969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BBD7E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83BD8A2">
            <w:pPr>
              <w:widowControl/>
              <w:jc w:val="left"/>
              <w:textAlignment w:val="center"/>
              <w:rPr>
                <w:rFonts w:ascii="宋体" w:cs="宋体"/>
                <w:sz w:val="20"/>
              </w:rPr>
            </w:pPr>
            <w:r>
              <w:rPr>
                <w:rFonts w:hint="eastAsia" w:ascii="宋体" w:hAnsi="宋体" w:eastAsia="宋体" w:cs="宋体"/>
                <w:color w:val="000000"/>
                <w:kern w:val="0"/>
                <w:sz w:val="20"/>
                <w:szCs w:val="20"/>
              </w:rPr>
              <w:t>指标1：不适用此指标</w:t>
            </w:r>
          </w:p>
        </w:tc>
        <w:tc>
          <w:tcPr>
            <w:tcW w:w="4228" w:type="dxa"/>
            <w:gridSpan w:val="2"/>
            <w:tcBorders>
              <w:tl2br w:val="nil"/>
              <w:tr2bl w:val="nil"/>
            </w:tcBorders>
            <w:vAlign w:val="center"/>
          </w:tcPr>
          <w:p w14:paraId="0E857259">
            <w:pPr>
              <w:jc w:val="center"/>
              <w:rPr>
                <w:rFonts w:ascii="宋体" w:cs="宋体"/>
                <w:sz w:val="20"/>
              </w:rPr>
            </w:pPr>
            <w:r>
              <w:rPr>
                <w:rFonts w:hint="eastAsia" w:ascii="宋体" w:cs="宋体"/>
                <w:sz w:val="20"/>
              </w:rPr>
              <w:t>无指标</w:t>
            </w:r>
          </w:p>
        </w:tc>
      </w:tr>
      <w:tr w14:paraId="6597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38" w:type="dxa"/>
            <w:vMerge w:val="continue"/>
            <w:tcBorders>
              <w:tl2br w:val="nil"/>
              <w:tr2bl w:val="nil"/>
            </w:tcBorders>
            <w:vAlign w:val="center"/>
          </w:tcPr>
          <w:p w14:paraId="1D7FFDA2">
            <w:pPr>
              <w:jc w:val="center"/>
              <w:rPr>
                <w:rFonts w:ascii="宋体" w:cs="宋体"/>
                <w:sz w:val="20"/>
              </w:rPr>
            </w:pPr>
          </w:p>
        </w:tc>
        <w:tc>
          <w:tcPr>
            <w:tcW w:w="723" w:type="dxa"/>
            <w:vMerge w:val="continue"/>
            <w:tcBorders>
              <w:tl2br w:val="nil"/>
              <w:tr2bl w:val="nil"/>
            </w:tcBorders>
            <w:vAlign w:val="center"/>
          </w:tcPr>
          <w:p w14:paraId="192151A9">
            <w:pPr>
              <w:jc w:val="center"/>
              <w:rPr>
                <w:rFonts w:ascii="宋体" w:cs="宋体"/>
                <w:sz w:val="20"/>
              </w:rPr>
            </w:pPr>
          </w:p>
        </w:tc>
        <w:tc>
          <w:tcPr>
            <w:tcW w:w="759" w:type="dxa"/>
            <w:gridSpan w:val="2"/>
            <w:tcBorders>
              <w:tl2br w:val="nil"/>
              <w:tr2bl w:val="nil"/>
            </w:tcBorders>
            <w:vAlign w:val="center"/>
          </w:tcPr>
          <w:p w14:paraId="10C1E8D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31A4C2A">
            <w:pPr>
              <w:widowControl/>
              <w:jc w:val="left"/>
              <w:textAlignment w:val="center"/>
              <w:rPr>
                <w:rFonts w:ascii="宋体" w:cs="宋体"/>
                <w:sz w:val="20"/>
              </w:rPr>
            </w:pPr>
            <w:r>
              <w:rPr>
                <w:rFonts w:hint="eastAsia" w:ascii="宋体" w:hAnsi="宋体" w:eastAsia="宋体" w:cs="宋体"/>
                <w:color w:val="000000"/>
                <w:kern w:val="0"/>
                <w:sz w:val="20"/>
                <w:szCs w:val="20"/>
              </w:rPr>
              <w:t>指标1：保障工作运行</w:t>
            </w:r>
          </w:p>
        </w:tc>
        <w:tc>
          <w:tcPr>
            <w:tcW w:w="4228" w:type="dxa"/>
            <w:gridSpan w:val="2"/>
            <w:tcBorders>
              <w:tl2br w:val="nil"/>
              <w:tr2bl w:val="nil"/>
            </w:tcBorders>
            <w:vAlign w:val="center"/>
          </w:tcPr>
          <w:p w14:paraId="2F11F6E8">
            <w:pPr>
              <w:jc w:val="center"/>
              <w:rPr>
                <w:rFonts w:ascii="宋体" w:cs="宋体"/>
                <w:sz w:val="20"/>
              </w:rPr>
            </w:pPr>
            <w:r>
              <w:rPr>
                <w:rFonts w:hint="eastAsia" w:ascii="宋体" w:cs="宋体"/>
                <w:sz w:val="20"/>
              </w:rPr>
              <w:t>保障工作运行</w:t>
            </w:r>
          </w:p>
        </w:tc>
      </w:tr>
      <w:tr w14:paraId="25F5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38" w:type="dxa"/>
            <w:vMerge w:val="continue"/>
            <w:tcBorders>
              <w:tl2br w:val="nil"/>
              <w:tr2bl w:val="nil"/>
            </w:tcBorders>
            <w:vAlign w:val="center"/>
          </w:tcPr>
          <w:p w14:paraId="4AC5452A">
            <w:pPr>
              <w:jc w:val="center"/>
              <w:rPr>
                <w:rFonts w:ascii="宋体" w:cs="宋体"/>
                <w:sz w:val="20"/>
              </w:rPr>
            </w:pPr>
          </w:p>
        </w:tc>
        <w:tc>
          <w:tcPr>
            <w:tcW w:w="723" w:type="dxa"/>
            <w:vMerge w:val="continue"/>
            <w:tcBorders>
              <w:tl2br w:val="nil"/>
              <w:tr2bl w:val="nil"/>
            </w:tcBorders>
            <w:vAlign w:val="center"/>
          </w:tcPr>
          <w:p w14:paraId="043FD644">
            <w:pPr>
              <w:jc w:val="center"/>
              <w:rPr>
                <w:rFonts w:ascii="宋体" w:cs="宋体"/>
                <w:sz w:val="20"/>
              </w:rPr>
            </w:pPr>
          </w:p>
        </w:tc>
        <w:tc>
          <w:tcPr>
            <w:tcW w:w="759" w:type="dxa"/>
            <w:gridSpan w:val="2"/>
            <w:tcBorders>
              <w:tl2br w:val="nil"/>
              <w:tr2bl w:val="nil"/>
            </w:tcBorders>
            <w:vAlign w:val="center"/>
          </w:tcPr>
          <w:p w14:paraId="37879B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B644F7A">
            <w:pPr>
              <w:widowControl/>
              <w:jc w:val="left"/>
              <w:textAlignment w:val="center"/>
              <w:rPr>
                <w:rFonts w:ascii="宋体" w:cs="宋体"/>
                <w:sz w:val="20"/>
              </w:rPr>
            </w:pPr>
            <w:r>
              <w:rPr>
                <w:rFonts w:hint="eastAsia" w:ascii="宋体" w:hAnsi="宋体" w:eastAsia="宋体" w:cs="宋体"/>
                <w:color w:val="000000"/>
                <w:kern w:val="0"/>
                <w:sz w:val="20"/>
                <w:szCs w:val="20"/>
              </w:rPr>
              <w:t>指标1：保障大楼日常运转</w:t>
            </w:r>
          </w:p>
        </w:tc>
        <w:tc>
          <w:tcPr>
            <w:tcW w:w="4228" w:type="dxa"/>
            <w:gridSpan w:val="2"/>
            <w:tcBorders>
              <w:tl2br w:val="nil"/>
              <w:tr2bl w:val="nil"/>
            </w:tcBorders>
            <w:vAlign w:val="center"/>
          </w:tcPr>
          <w:p w14:paraId="4DB0BB41">
            <w:pPr>
              <w:jc w:val="center"/>
              <w:rPr>
                <w:rFonts w:ascii="宋体" w:cs="宋体"/>
                <w:sz w:val="20"/>
              </w:rPr>
            </w:pPr>
            <w:r>
              <w:rPr>
                <w:rFonts w:hint="eastAsia" w:ascii="宋体" w:cs="宋体"/>
                <w:sz w:val="20"/>
              </w:rPr>
              <w:t>日常运转</w:t>
            </w:r>
          </w:p>
        </w:tc>
      </w:tr>
      <w:tr w14:paraId="37E4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913A01B">
            <w:pPr>
              <w:jc w:val="center"/>
              <w:rPr>
                <w:rFonts w:ascii="宋体" w:cs="宋体"/>
                <w:sz w:val="20"/>
              </w:rPr>
            </w:pPr>
          </w:p>
        </w:tc>
        <w:tc>
          <w:tcPr>
            <w:tcW w:w="723" w:type="dxa"/>
            <w:vMerge w:val="continue"/>
            <w:tcBorders>
              <w:tl2br w:val="nil"/>
              <w:tr2bl w:val="nil"/>
            </w:tcBorders>
            <w:vAlign w:val="center"/>
          </w:tcPr>
          <w:p w14:paraId="6DA1FB6F">
            <w:pPr>
              <w:jc w:val="center"/>
              <w:rPr>
                <w:rFonts w:ascii="宋体" w:cs="宋体"/>
                <w:sz w:val="20"/>
              </w:rPr>
            </w:pPr>
          </w:p>
        </w:tc>
        <w:tc>
          <w:tcPr>
            <w:tcW w:w="759" w:type="dxa"/>
            <w:gridSpan w:val="2"/>
            <w:tcBorders>
              <w:tl2br w:val="nil"/>
              <w:tr2bl w:val="nil"/>
            </w:tcBorders>
            <w:vAlign w:val="center"/>
          </w:tcPr>
          <w:p w14:paraId="4825030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F97874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指标1：提升医院知名度</w:t>
            </w:r>
          </w:p>
        </w:tc>
        <w:tc>
          <w:tcPr>
            <w:tcW w:w="4228" w:type="dxa"/>
            <w:gridSpan w:val="2"/>
            <w:tcBorders>
              <w:tl2br w:val="nil"/>
              <w:tr2bl w:val="nil"/>
            </w:tcBorders>
            <w:vAlign w:val="center"/>
          </w:tcPr>
          <w:p w14:paraId="60FCBE4F">
            <w:pPr>
              <w:jc w:val="center"/>
              <w:rPr>
                <w:rFonts w:ascii="宋体" w:cs="宋体"/>
                <w:sz w:val="20"/>
              </w:rPr>
            </w:pPr>
            <w:r>
              <w:rPr>
                <w:rFonts w:hint="eastAsia" w:ascii="宋体" w:cs="宋体"/>
                <w:sz w:val="20"/>
              </w:rPr>
              <w:t>提升医院知名度</w:t>
            </w:r>
          </w:p>
        </w:tc>
      </w:tr>
      <w:tr w14:paraId="6C2E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38" w:type="dxa"/>
            <w:vMerge w:val="continue"/>
            <w:tcBorders>
              <w:tl2br w:val="nil"/>
              <w:tr2bl w:val="nil"/>
            </w:tcBorders>
            <w:vAlign w:val="center"/>
          </w:tcPr>
          <w:p w14:paraId="660E41EC">
            <w:pPr>
              <w:jc w:val="center"/>
              <w:rPr>
                <w:rFonts w:ascii="宋体" w:cs="宋体"/>
                <w:sz w:val="20"/>
              </w:rPr>
            </w:pPr>
          </w:p>
        </w:tc>
        <w:tc>
          <w:tcPr>
            <w:tcW w:w="723" w:type="dxa"/>
            <w:tcBorders>
              <w:tl2br w:val="nil"/>
              <w:tr2bl w:val="nil"/>
            </w:tcBorders>
            <w:vAlign w:val="center"/>
          </w:tcPr>
          <w:p w14:paraId="2854C91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6FD606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8DB676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指标1：提升患者满意度</w:t>
            </w:r>
          </w:p>
        </w:tc>
        <w:tc>
          <w:tcPr>
            <w:tcW w:w="4228" w:type="dxa"/>
            <w:gridSpan w:val="2"/>
            <w:tcBorders>
              <w:tl2br w:val="nil"/>
              <w:tr2bl w:val="nil"/>
            </w:tcBorders>
            <w:vAlign w:val="center"/>
          </w:tcPr>
          <w:p w14:paraId="1FA9AF9E">
            <w:pPr>
              <w:jc w:val="center"/>
              <w:rPr>
                <w:rFonts w:ascii="宋体" w:cs="宋体"/>
                <w:sz w:val="20"/>
              </w:rPr>
            </w:pPr>
            <w:r>
              <w:rPr>
                <w:rFonts w:hint="eastAsia" w:ascii="宋体" w:hAnsi="宋体" w:eastAsia="宋体" w:cs="宋体"/>
                <w:color w:val="000000"/>
                <w:kern w:val="0"/>
                <w:sz w:val="20"/>
                <w:szCs w:val="20"/>
              </w:rPr>
              <w:t>提升患者满意度</w:t>
            </w:r>
          </w:p>
        </w:tc>
      </w:tr>
    </w:tbl>
    <w:p w14:paraId="22500468">
      <w:pPr>
        <w:ind w:firstLine="420" w:firstLineChars="200"/>
      </w:pPr>
    </w:p>
    <w:p w14:paraId="28CD22A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71B056E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淮北市妇幼保健计划生育服务中心为非参照公务员法管理的事业单位，按照部门预算机关运行经费口径，2025年无机关运行经费财政拨款预算。</w:t>
      </w:r>
    </w:p>
    <w:p w14:paraId="0B9A5E21">
      <w:pPr>
        <w:adjustRightInd w:val="0"/>
        <w:snapToGrid w:val="0"/>
        <w:spacing w:line="580" w:lineRule="exact"/>
        <w:ind w:firstLine="643" w:firstLineChars="200"/>
        <w:rPr>
          <w:rFonts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（三）政府采购情况。</w:t>
      </w:r>
    </w:p>
    <w:p w14:paraId="1142C4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淮北市妇幼保健计划生育服务中心2025年政府采购预算0万元。其中：政府采购货物预算0万元，政府采购工程预算0万元，政府采购服务预算0万元。</w:t>
      </w:r>
    </w:p>
    <w:p w14:paraId="774E193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FC008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截至2024年12月31日，淮北市妇幼保健计划生育服务中心共有车辆5辆，其中：特种专业技术用车4辆、其他用车1辆。单价50万元以上的通用设备1台（套），单价100万元以上的专用设备13台（套）。</w:t>
      </w:r>
    </w:p>
    <w:p w14:paraId="462F8A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2025年部门（单位）预算安排购置公务用车0辆，购置费0万元；安排购置单价50万元以上的通用设备0台（套），购置费0万元；安排购置单价100万元以上专用设备0台（套），购置费0万元。</w:t>
      </w:r>
    </w:p>
    <w:p w14:paraId="0689604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4FD7481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2025年，淮北市妇幼保健计划生育服务中心1个项目实行了绩效目标管理，涉及一般公共预算当年财政拨款1.6万元、政府性基金预算当年财政拨款0万元、财政专户管理资金当年安排0万元。</w:t>
      </w:r>
    </w:p>
    <w:p w14:paraId="5A6E3DA6">
      <w:pPr>
        <w:pStyle w:val="4"/>
        <w:adjustRightInd w:val="0"/>
        <w:snapToGrid w:val="0"/>
        <w:spacing w:line="560" w:lineRule="exact"/>
        <w:jc w:val="center"/>
        <w:rPr>
          <w:rFonts w:ascii="TimesNewRoman" w:hAnsi="TimesNewRoman" w:eastAsia="黑体" w:cs="TimesNewRoman"/>
          <w:bCs/>
          <w:sz w:val="36"/>
          <w:szCs w:val="36"/>
        </w:rPr>
      </w:pPr>
    </w:p>
    <w:p w14:paraId="0F8629DB">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FCB93BF"/>
    <w:p w14:paraId="3DBA88B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8C8F20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545538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4E8F5D6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7E4404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6277F2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43A538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3C2B1D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13F36D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B682C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中秀体简">
    <w:altName w:val="Arial Unicode MS"/>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17E9A"/>
    <w:rsid w:val="000451A1"/>
    <w:rsid w:val="000E28EE"/>
    <w:rsid w:val="00107410"/>
    <w:rsid w:val="00150D84"/>
    <w:rsid w:val="00187D05"/>
    <w:rsid w:val="00254CAF"/>
    <w:rsid w:val="00267E33"/>
    <w:rsid w:val="002A64AE"/>
    <w:rsid w:val="002B75D5"/>
    <w:rsid w:val="003C1485"/>
    <w:rsid w:val="0049524C"/>
    <w:rsid w:val="004A4DC6"/>
    <w:rsid w:val="004B52B2"/>
    <w:rsid w:val="004F3C89"/>
    <w:rsid w:val="0057562B"/>
    <w:rsid w:val="005A5288"/>
    <w:rsid w:val="006039EB"/>
    <w:rsid w:val="00621CDF"/>
    <w:rsid w:val="006546AF"/>
    <w:rsid w:val="00693953"/>
    <w:rsid w:val="006E0B95"/>
    <w:rsid w:val="00726D96"/>
    <w:rsid w:val="00740B10"/>
    <w:rsid w:val="008604F8"/>
    <w:rsid w:val="00861C3A"/>
    <w:rsid w:val="008F6D1A"/>
    <w:rsid w:val="009168AC"/>
    <w:rsid w:val="009A34BE"/>
    <w:rsid w:val="009A3CA3"/>
    <w:rsid w:val="009F614E"/>
    <w:rsid w:val="009F7862"/>
    <w:rsid w:val="00A10629"/>
    <w:rsid w:val="00A660F5"/>
    <w:rsid w:val="00AA29A8"/>
    <w:rsid w:val="00AC7FEB"/>
    <w:rsid w:val="00AE3242"/>
    <w:rsid w:val="00AF759F"/>
    <w:rsid w:val="00B6315E"/>
    <w:rsid w:val="00B85F59"/>
    <w:rsid w:val="00B964EC"/>
    <w:rsid w:val="00BD640A"/>
    <w:rsid w:val="00C2020B"/>
    <w:rsid w:val="00D26BAE"/>
    <w:rsid w:val="00DA4440"/>
    <w:rsid w:val="00DB2A5C"/>
    <w:rsid w:val="00E528E4"/>
    <w:rsid w:val="00E557C3"/>
    <w:rsid w:val="00E907C4"/>
    <w:rsid w:val="00EC7755"/>
    <w:rsid w:val="00EE4EBD"/>
    <w:rsid w:val="00F45ECB"/>
    <w:rsid w:val="00F974AD"/>
    <w:rsid w:val="00FB5709"/>
    <w:rsid w:val="00FE3B12"/>
    <w:rsid w:val="0DBE2A45"/>
    <w:rsid w:val="4C5F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4972</Words>
  <Characters>5509</Characters>
  <Lines>41</Lines>
  <Paragraphs>11</Paragraphs>
  <TotalTime>0</TotalTime>
  <ScaleCrop>false</ScaleCrop>
  <LinksUpToDate>false</LinksUpToDate>
  <CharactersWithSpaces>5620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2025-02-21T03:12:48Z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0C3430C4968945CB903B311FAC1C7FA4_12</vt:lpwstr>
  </property>
</Properties>
</file>