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56CCF">
      <w:pPr>
        <w:spacing w:line="560" w:lineRule="exact"/>
        <w:rPr>
          <w:rFonts w:ascii="Times New Roman" w:hAnsi="Times New Roman" w:eastAsia="黑体" w:cs="Times New Roman"/>
          <w:szCs w:val="32"/>
        </w:rPr>
      </w:pPr>
      <w:r>
        <w:rPr>
          <w:rFonts w:ascii="Times New Roman" w:hAnsi="TimesNewRoman" w:eastAsia="黑体" w:cs="Times New Roman"/>
          <w:szCs w:val="32"/>
        </w:rPr>
        <w:t>附件</w:t>
      </w:r>
      <w:r>
        <w:rPr>
          <w:rFonts w:ascii="Times New Roman" w:hAnsi="Times New Roman" w:eastAsia="黑体" w:cs="Times New Roman"/>
          <w:szCs w:val="32"/>
        </w:rPr>
        <w:t>1-1</w:t>
      </w:r>
    </w:p>
    <w:p w14:paraId="2E673EFA">
      <w:pPr>
        <w:rPr>
          <w:rFonts w:ascii="Times New Roman" w:hAnsi="Times New Roman" w:cs="Times New Roman"/>
        </w:rPr>
      </w:pPr>
    </w:p>
    <w:p w14:paraId="12EB5D0F">
      <w:pPr>
        <w:rPr>
          <w:rFonts w:ascii="Times New Roman" w:hAnsi="Times New Roman" w:cs="Times New Roman"/>
        </w:rPr>
      </w:pPr>
    </w:p>
    <w:p w14:paraId="18C62CE4">
      <w:pPr>
        <w:rPr>
          <w:rFonts w:ascii="Times New Roman" w:hAnsi="Times New Roman" w:cs="Times New Roman"/>
        </w:rPr>
      </w:pPr>
    </w:p>
    <w:p w14:paraId="4A9751C3">
      <w:pPr>
        <w:rPr>
          <w:rFonts w:ascii="Times New Roman" w:hAnsi="Times New Roman" w:cs="Times New Roman"/>
        </w:rPr>
      </w:pPr>
    </w:p>
    <w:p w14:paraId="3BEFE95A">
      <w:pPr>
        <w:rPr>
          <w:rFonts w:ascii="Times New Roman" w:hAnsi="Times New Roman" w:cs="Times New Roman"/>
        </w:rPr>
      </w:pPr>
    </w:p>
    <w:p w14:paraId="4B95F7D0">
      <w:pPr>
        <w:rPr>
          <w:rFonts w:ascii="Times New Roman" w:hAnsi="Times New Roman" w:cs="Times New Roman"/>
        </w:rPr>
      </w:pPr>
    </w:p>
    <w:p w14:paraId="5E152020">
      <w:pPr>
        <w:rPr>
          <w:rFonts w:ascii="Times New Roman" w:hAnsi="Times New Roman" w:cs="Times New Roman"/>
        </w:rPr>
      </w:pPr>
    </w:p>
    <w:p w14:paraId="685AA758">
      <w:pPr>
        <w:rPr>
          <w:rFonts w:ascii="Times New Roman" w:hAnsi="Times New Roman" w:cs="Times New Roman"/>
        </w:rPr>
      </w:pPr>
    </w:p>
    <w:p w14:paraId="0D9DD795">
      <w:pPr>
        <w:spacing w:line="560" w:lineRule="exact"/>
        <w:jc w:val="center"/>
        <w:rPr>
          <w:rFonts w:ascii="Times New Roman" w:hAnsi="Times New Roman" w:eastAsia="华文中宋" w:cs="Times New Roman"/>
          <w:b/>
          <w:sz w:val="44"/>
          <w:szCs w:val="44"/>
        </w:rPr>
      </w:pPr>
      <w:r>
        <w:rPr>
          <w:rFonts w:ascii="Times New Roman" w:hAnsi="TimesNewRoman" w:eastAsia="华文中宋" w:cs="Times New Roman"/>
          <w:b/>
          <w:sz w:val="44"/>
          <w:szCs w:val="44"/>
        </w:rPr>
        <w:t>中共淮北市委保健委员会办公室</w:t>
      </w:r>
    </w:p>
    <w:p w14:paraId="67B86947">
      <w:pPr>
        <w:spacing w:line="560" w:lineRule="exact"/>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2023</w:t>
      </w:r>
      <w:r>
        <w:rPr>
          <w:rFonts w:ascii="Times New Roman" w:hAnsi="TimesNewRoman" w:eastAsia="华文中宋" w:cs="Times New Roman"/>
          <w:b/>
          <w:sz w:val="44"/>
          <w:szCs w:val="44"/>
        </w:rPr>
        <w:t>年单位预算</w:t>
      </w:r>
    </w:p>
    <w:p w14:paraId="6246A78E">
      <w:pPr>
        <w:rPr>
          <w:rFonts w:ascii="Times New Roman" w:hAnsi="Times New Roman" w:cs="Times New Roman"/>
        </w:rPr>
      </w:pPr>
    </w:p>
    <w:p w14:paraId="73A031C1">
      <w:pPr>
        <w:rPr>
          <w:rFonts w:ascii="Times New Roman" w:hAnsi="Times New Roman" w:cs="Times New Roman"/>
        </w:rPr>
      </w:pPr>
    </w:p>
    <w:p w14:paraId="71D56C78">
      <w:pPr>
        <w:rPr>
          <w:rFonts w:ascii="Times New Roman" w:hAnsi="Times New Roman" w:cs="Times New Roman"/>
        </w:rPr>
      </w:pPr>
    </w:p>
    <w:p w14:paraId="4A93FBF4">
      <w:pPr>
        <w:rPr>
          <w:rFonts w:ascii="Times New Roman" w:hAnsi="Times New Roman" w:cs="Times New Roman"/>
        </w:rPr>
      </w:pPr>
    </w:p>
    <w:p w14:paraId="7AC860C7">
      <w:pPr>
        <w:rPr>
          <w:rFonts w:ascii="Times New Roman" w:hAnsi="Times New Roman" w:cs="Times New Roman"/>
        </w:rPr>
      </w:pPr>
    </w:p>
    <w:p w14:paraId="08F807AD">
      <w:pPr>
        <w:rPr>
          <w:rFonts w:ascii="Times New Roman" w:hAnsi="Times New Roman" w:cs="Times New Roman"/>
        </w:rPr>
      </w:pPr>
    </w:p>
    <w:p w14:paraId="7FE3CBCD">
      <w:pPr>
        <w:rPr>
          <w:rFonts w:ascii="Times New Roman" w:hAnsi="Times New Roman" w:cs="Times New Roman"/>
        </w:rPr>
      </w:pPr>
    </w:p>
    <w:p w14:paraId="45A8260C">
      <w:pPr>
        <w:rPr>
          <w:rFonts w:ascii="Times New Roman" w:hAnsi="Times New Roman" w:cs="Times New Roman"/>
        </w:rPr>
      </w:pPr>
    </w:p>
    <w:p w14:paraId="638F3DE5">
      <w:pPr>
        <w:rPr>
          <w:rFonts w:ascii="Times New Roman" w:hAnsi="Times New Roman" w:cs="Times New Roman"/>
        </w:rPr>
      </w:pPr>
    </w:p>
    <w:p w14:paraId="53BAE9E6">
      <w:pPr>
        <w:rPr>
          <w:rFonts w:ascii="Times New Roman" w:hAnsi="Times New Roman" w:cs="Times New Roman"/>
        </w:rPr>
      </w:pPr>
    </w:p>
    <w:p w14:paraId="5EB074C0">
      <w:pPr>
        <w:rPr>
          <w:rFonts w:ascii="Times New Roman" w:hAnsi="Times New Roman" w:cs="Times New Roman"/>
        </w:rPr>
      </w:pPr>
    </w:p>
    <w:p w14:paraId="525657E4">
      <w:pPr>
        <w:rPr>
          <w:rFonts w:ascii="Times New Roman" w:hAnsi="Times New Roman" w:cs="Times New Roman"/>
        </w:rPr>
      </w:pPr>
    </w:p>
    <w:p w14:paraId="2521883C">
      <w:pPr>
        <w:rPr>
          <w:rFonts w:ascii="Times New Roman" w:hAnsi="Times New Roman" w:cs="Times New Roman"/>
        </w:rPr>
      </w:pPr>
    </w:p>
    <w:p w14:paraId="0C8ADF33">
      <w:pPr>
        <w:rPr>
          <w:rFonts w:ascii="Times New Roman" w:hAnsi="Times New Roman" w:cs="Times New Roman"/>
        </w:rPr>
      </w:pPr>
    </w:p>
    <w:p w14:paraId="5AC808C7">
      <w:pPr>
        <w:rPr>
          <w:rFonts w:ascii="Times New Roman" w:hAnsi="Times New Roman" w:cs="Times New Roman"/>
        </w:rPr>
      </w:pPr>
    </w:p>
    <w:p w14:paraId="0FC061BD">
      <w:pPr>
        <w:rPr>
          <w:rFonts w:ascii="Times New Roman" w:hAnsi="Times New Roman" w:cs="Times New Roman"/>
        </w:rPr>
      </w:pPr>
    </w:p>
    <w:p w14:paraId="03354CB9">
      <w:pPr>
        <w:rPr>
          <w:rFonts w:ascii="Times New Roman" w:hAnsi="Times New Roman" w:cs="Times New Roman"/>
        </w:rPr>
      </w:pPr>
    </w:p>
    <w:p w14:paraId="5771E949">
      <w:pPr>
        <w:rPr>
          <w:rFonts w:ascii="Times New Roman" w:hAnsi="Times New Roman" w:cs="Times New Roman"/>
        </w:rPr>
      </w:pPr>
    </w:p>
    <w:p w14:paraId="25246E48">
      <w:pPr>
        <w:rPr>
          <w:rFonts w:ascii="Times New Roman" w:hAnsi="Times New Roman" w:cs="Times New Roman"/>
        </w:rPr>
      </w:pPr>
    </w:p>
    <w:p w14:paraId="019E4673">
      <w:pPr>
        <w:rPr>
          <w:rFonts w:ascii="Times New Roman" w:hAnsi="Times New Roman" w:cs="Times New Roman"/>
        </w:rPr>
      </w:pPr>
    </w:p>
    <w:p w14:paraId="0BBFE334">
      <w:pPr>
        <w:rPr>
          <w:rFonts w:ascii="Times New Roman" w:hAnsi="Times New Roman" w:cs="Times New Roman"/>
        </w:rPr>
      </w:pPr>
    </w:p>
    <w:p w14:paraId="6B2CD4E0">
      <w:pPr>
        <w:rPr>
          <w:rFonts w:ascii="Times New Roman" w:hAnsi="Times New Roman" w:cs="Times New Roman"/>
        </w:rPr>
      </w:pPr>
    </w:p>
    <w:p w14:paraId="47C57B08">
      <w:pPr>
        <w:rPr>
          <w:rFonts w:ascii="Times New Roman" w:hAnsi="Times New Roman" w:cs="Times New Roman"/>
        </w:rPr>
      </w:pPr>
    </w:p>
    <w:p w14:paraId="09AD29E7">
      <w:pPr>
        <w:pStyle w:val="4"/>
        <w:adjustRightInd w:val="0"/>
        <w:snapToGrid w:val="0"/>
        <w:spacing w:line="560" w:lineRule="exact"/>
        <w:jc w:val="center"/>
        <w:rPr>
          <w:rFonts w:ascii="Times New Roman" w:hAnsi="Times New Roman" w:eastAsia="黑体" w:cs="Times New Roman"/>
          <w:bCs/>
          <w:sz w:val="44"/>
          <w:szCs w:val="44"/>
        </w:rPr>
      </w:pPr>
    </w:p>
    <w:p w14:paraId="269F08A7">
      <w:pPr>
        <w:pStyle w:val="4"/>
        <w:adjustRightInd w:val="0"/>
        <w:snapToGrid w:val="0"/>
        <w:spacing w:line="560" w:lineRule="exact"/>
        <w:jc w:val="center"/>
        <w:rPr>
          <w:rFonts w:ascii="Times New Roman" w:hAnsi="Times New Roman" w:eastAsia="黑体" w:cs="Times New Roman"/>
          <w:bCs/>
          <w:sz w:val="44"/>
          <w:szCs w:val="44"/>
        </w:rPr>
      </w:pPr>
      <w:r>
        <w:rPr>
          <w:rFonts w:ascii="Times New Roman" w:hAnsi="Times New Roman" w:eastAsia="黑体" w:cs="Times New Roman"/>
          <w:bCs/>
          <w:sz w:val="44"/>
          <w:szCs w:val="44"/>
        </w:rPr>
        <w:t>2023</w:t>
      </w:r>
      <w:r>
        <w:rPr>
          <w:rFonts w:ascii="Times New Roman" w:hAnsi="TimesNewRoman" w:eastAsia="黑体" w:cs="Times New Roman"/>
          <w:bCs/>
          <w:sz w:val="44"/>
          <w:szCs w:val="44"/>
        </w:rPr>
        <w:t>年</w:t>
      </w:r>
      <w:r>
        <w:rPr>
          <w:rFonts w:ascii="Times New Roman" w:hAnsi="Times New Roman" w:eastAsia="黑体" w:cs="Times New Roman"/>
          <w:bCs/>
          <w:sz w:val="44"/>
          <w:szCs w:val="44"/>
        </w:rPr>
        <w:t>2</w:t>
      </w:r>
      <w:r>
        <w:rPr>
          <w:rFonts w:ascii="Times New Roman" w:hAnsi="TimesNewRoman" w:eastAsia="黑体" w:cs="Times New Roman"/>
          <w:bCs/>
          <w:sz w:val="44"/>
          <w:szCs w:val="44"/>
        </w:rPr>
        <w:t>月</w:t>
      </w:r>
    </w:p>
    <w:p w14:paraId="650AC10A">
      <w:pPr>
        <w:rPr>
          <w:rFonts w:ascii="Times New Roman" w:hAnsi="Times New Roman" w:cs="Times New Roman"/>
        </w:rPr>
      </w:pPr>
    </w:p>
    <w:p w14:paraId="739B5A14">
      <w:pPr>
        <w:rPr>
          <w:rFonts w:ascii="Times New Roman" w:hAnsi="Times New Roman" w:cs="Times New Roman"/>
        </w:rPr>
      </w:pPr>
    </w:p>
    <w:p w14:paraId="127C73AB">
      <w:pPr>
        <w:pStyle w:val="4"/>
        <w:adjustRightInd w:val="0"/>
        <w:snapToGrid w:val="0"/>
        <w:spacing w:line="560" w:lineRule="exact"/>
        <w:jc w:val="center"/>
        <w:rPr>
          <w:rFonts w:ascii="Times New Roman" w:hAnsi="Times New Roman" w:cs="Times New Roman"/>
        </w:rPr>
      </w:pPr>
      <w:r>
        <w:rPr>
          <w:rFonts w:ascii="Times New Roman" w:hAnsi="TimesNewRoman" w:eastAsia="黑体" w:cs="Times New Roman"/>
          <w:bCs/>
          <w:sz w:val="44"/>
          <w:szCs w:val="44"/>
        </w:rPr>
        <w:t>目</w:t>
      </w:r>
      <w:r>
        <w:rPr>
          <w:rFonts w:ascii="Times New Roman" w:hAnsi="Times New Roman" w:eastAsia="黑体" w:cs="Times New Roman"/>
          <w:bCs/>
          <w:sz w:val="44"/>
          <w:szCs w:val="44"/>
        </w:rPr>
        <w:t xml:space="preserve">  </w:t>
      </w:r>
      <w:r>
        <w:rPr>
          <w:rFonts w:ascii="Times New Roman" w:hAnsi="TimesNewRoman" w:eastAsia="黑体" w:cs="Times New Roman"/>
          <w:bCs/>
          <w:sz w:val="44"/>
          <w:szCs w:val="44"/>
        </w:rPr>
        <w:t>录</w:t>
      </w:r>
    </w:p>
    <w:p w14:paraId="2E2C60CB">
      <w:pPr>
        <w:pStyle w:val="4"/>
        <w:adjustRightInd w:val="0"/>
        <w:snapToGrid w:val="0"/>
        <w:spacing w:line="400" w:lineRule="exact"/>
        <w:ind w:firstLine="643" w:firstLineChars="200"/>
        <w:rPr>
          <w:rFonts w:ascii="Times New Roman" w:hAnsi="Times New Roman" w:eastAsia="仿宋_GB2312" w:cs="Times New Roman"/>
          <w:b/>
          <w:sz w:val="32"/>
          <w:szCs w:val="32"/>
        </w:rPr>
      </w:pPr>
      <w:r>
        <w:rPr>
          <w:rFonts w:ascii="Times New Roman" w:hAnsi="TimesNewRoman" w:eastAsia="仿宋_GB2312" w:cs="Times New Roman"/>
          <w:b/>
          <w:sz w:val="32"/>
          <w:szCs w:val="32"/>
        </w:rPr>
        <w:t>第一部分</w:t>
      </w:r>
      <w:r>
        <w:rPr>
          <w:rFonts w:ascii="Times New Roman" w:hAnsi="Times New Roman" w:eastAsia="仿宋_GB2312" w:cs="Times New Roman"/>
          <w:b/>
          <w:sz w:val="32"/>
          <w:szCs w:val="32"/>
        </w:rPr>
        <w:t xml:space="preserve"> </w:t>
      </w:r>
      <w:r>
        <w:rPr>
          <w:rFonts w:ascii="Times New Roman" w:hAnsi="TimesNewRoman" w:eastAsia="仿宋_GB2312" w:cs="Times New Roman"/>
          <w:b/>
          <w:sz w:val="32"/>
          <w:szCs w:val="32"/>
        </w:rPr>
        <w:t>部门（单位）概况</w:t>
      </w:r>
    </w:p>
    <w:p w14:paraId="34C89967">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ascii="Times New Roman" w:hAnsi="TimesNewRoman" w:eastAsia="仿宋_GB2312" w:cs="Times New Roman"/>
          <w:bCs/>
          <w:sz w:val="32"/>
          <w:szCs w:val="32"/>
        </w:rPr>
        <w:t>、主要职责</w:t>
      </w:r>
    </w:p>
    <w:p w14:paraId="46870589">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ascii="Times New Roman" w:hAnsi="TimesNewRoman" w:eastAsia="仿宋_GB2312" w:cs="Times New Roman"/>
          <w:bCs/>
          <w:sz w:val="32"/>
          <w:szCs w:val="32"/>
        </w:rPr>
        <w:t>、部门（单位）预算构成</w:t>
      </w:r>
    </w:p>
    <w:p w14:paraId="51DE0484">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3 </w:t>
      </w:r>
      <w:r>
        <w:rPr>
          <w:rFonts w:ascii="Times New Roman" w:hAnsi="TimesNewRoman" w:eastAsia="仿宋_GB2312" w:cs="Times New Roman"/>
          <w:bCs/>
          <w:sz w:val="32"/>
          <w:szCs w:val="32"/>
        </w:rPr>
        <w:t>、</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年度主要工作任务</w:t>
      </w:r>
    </w:p>
    <w:p w14:paraId="24D8B15F">
      <w:pPr>
        <w:pStyle w:val="4"/>
        <w:adjustRightInd w:val="0"/>
        <w:snapToGrid w:val="0"/>
        <w:spacing w:line="400" w:lineRule="exact"/>
        <w:ind w:firstLine="643" w:firstLineChars="200"/>
        <w:rPr>
          <w:rFonts w:ascii="Times New Roman" w:hAnsi="Times New Roman" w:eastAsia="仿宋_GB2312" w:cs="Times New Roman"/>
          <w:b/>
          <w:sz w:val="32"/>
          <w:szCs w:val="32"/>
        </w:rPr>
      </w:pPr>
      <w:r>
        <w:rPr>
          <w:rFonts w:ascii="Times New Roman" w:hAnsi="TimesNewRoman" w:eastAsia="仿宋_GB2312" w:cs="Times New Roman"/>
          <w:b/>
          <w:sz w:val="32"/>
          <w:szCs w:val="32"/>
        </w:rPr>
        <w:t>第二部分</w:t>
      </w:r>
      <w:r>
        <w:rPr>
          <w:rFonts w:ascii="Times New Roman" w:hAnsi="Times New Roman" w:eastAsia="仿宋_GB2312" w:cs="Times New Roman"/>
          <w:b/>
          <w:sz w:val="32"/>
          <w:szCs w:val="32"/>
        </w:rPr>
        <w:t xml:space="preserve"> 2023</w:t>
      </w:r>
      <w:r>
        <w:rPr>
          <w:rFonts w:ascii="Times New Roman" w:hAnsi="TimesNewRoman" w:eastAsia="仿宋_GB2312" w:cs="Times New Roman"/>
          <w:b/>
          <w:sz w:val="32"/>
          <w:szCs w:val="32"/>
        </w:rPr>
        <w:t>年部门（单位）预算表</w:t>
      </w:r>
    </w:p>
    <w:p w14:paraId="2A540696">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ascii="Times New Roman" w:hAnsi="TimesNewRoman" w:eastAsia="仿宋_GB2312" w:cs="Times New Roman"/>
          <w:bCs/>
          <w:sz w:val="32"/>
          <w:szCs w:val="32"/>
        </w:rPr>
        <w:t>、中共淮北市委保健委员会办公室</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年收支总表</w:t>
      </w:r>
    </w:p>
    <w:p w14:paraId="62475C08">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ascii="Times New Roman" w:hAnsi="TimesNewRoman" w:eastAsia="仿宋_GB2312" w:cs="Times New Roman"/>
          <w:bCs/>
          <w:sz w:val="32"/>
          <w:szCs w:val="32"/>
        </w:rPr>
        <w:t>、中共淮北市委保健委员会办公室</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年收入总表</w:t>
      </w:r>
    </w:p>
    <w:p w14:paraId="0E665C0C">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3</w:t>
      </w:r>
      <w:r>
        <w:rPr>
          <w:rFonts w:ascii="Times New Roman" w:hAnsi="TimesNewRoman" w:eastAsia="仿宋_GB2312" w:cs="Times New Roman"/>
          <w:bCs/>
          <w:sz w:val="32"/>
          <w:szCs w:val="32"/>
        </w:rPr>
        <w:t>、中共淮北市委保健委员会办公室</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年支出总表</w:t>
      </w:r>
    </w:p>
    <w:p w14:paraId="752B2445">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4</w:t>
      </w:r>
      <w:r>
        <w:rPr>
          <w:rFonts w:ascii="Times New Roman" w:hAnsi="TimesNewRoman" w:eastAsia="仿宋_GB2312" w:cs="Times New Roman"/>
          <w:bCs/>
          <w:sz w:val="32"/>
          <w:szCs w:val="32"/>
        </w:rPr>
        <w:t>、中共淮北市委保健委员会办公室</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年财政拨款收支总表</w:t>
      </w:r>
    </w:p>
    <w:p w14:paraId="385F3361">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5</w:t>
      </w:r>
      <w:r>
        <w:rPr>
          <w:rFonts w:ascii="Times New Roman" w:hAnsi="TimesNewRoman" w:eastAsia="仿宋_GB2312" w:cs="Times New Roman"/>
          <w:bCs/>
          <w:sz w:val="32"/>
          <w:szCs w:val="32"/>
        </w:rPr>
        <w:t>、中共淮北市委保健委员会办公室</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年一般公共预算支出表</w:t>
      </w:r>
    </w:p>
    <w:p w14:paraId="2CB56E24">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6</w:t>
      </w:r>
      <w:r>
        <w:rPr>
          <w:rFonts w:ascii="Times New Roman" w:hAnsi="TimesNewRoman" w:eastAsia="仿宋_GB2312" w:cs="Times New Roman"/>
          <w:bCs/>
          <w:sz w:val="32"/>
          <w:szCs w:val="32"/>
        </w:rPr>
        <w:t>、中共淮北市委保健委员会办公室</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年一般公共预算基本支出表</w:t>
      </w:r>
    </w:p>
    <w:p w14:paraId="5D7165C3">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7</w:t>
      </w:r>
      <w:r>
        <w:rPr>
          <w:rFonts w:ascii="Times New Roman" w:hAnsi="TimesNewRoman" w:eastAsia="仿宋_GB2312" w:cs="Times New Roman"/>
          <w:bCs/>
          <w:sz w:val="32"/>
          <w:szCs w:val="32"/>
        </w:rPr>
        <w:t>、中共淮北市委保健委员会办公室</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年政府性基金预算支出表</w:t>
      </w:r>
    </w:p>
    <w:p w14:paraId="7ADDF55C">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8</w:t>
      </w:r>
      <w:r>
        <w:rPr>
          <w:rFonts w:ascii="Times New Roman" w:hAnsi="TimesNewRoman" w:eastAsia="仿宋_GB2312" w:cs="Times New Roman"/>
          <w:bCs/>
          <w:sz w:val="32"/>
          <w:szCs w:val="32"/>
        </w:rPr>
        <w:t>、中共淮北市委保健委员会办公室</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年国有资本经营预算支出表</w:t>
      </w:r>
    </w:p>
    <w:p w14:paraId="2AD8912B">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9</w:t>
      </w:r>
      <w:r>
        <w:rPr>
          <w:rFonts w:ascii="Times New Roman" w:hAnsi="TimesNewRoman" w:eastAsia="仿宋_GB2312" w:cs="Times New Roman"/>
          <w:bCs/>
          <w:sz w:val="32"/>
          <w:szCs w:val="32"/>
        </w:rPr>
        <w:t>、中共淮北市委保健委员会办公室</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年项目支出表</w:t>
      </w:r>
    </w:p>
    <w:p w14:paraId="1EAB3FF4">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10</w:t>
      </w:r>
      <w:r>
        <w:rPr>
          <w:rFonts w:ascii="Times New Roman" w:hAnsi="TimesNewRoman" w:eastAsia="仿宋_GB2312" w:cs="Times New Roman"/>
          <w:bCs/>
          <w:sz w:val="32"/>
          <w:szCs w:val="32"/>
        </w:rPr>
        <w:t>、中共淮北市委保健委员会办公室</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年政府采购支出表</w:t>
      </w:r>
    </w:p>
    <w:p w14:paraId="0039428F">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w:t>
      </w:r>
      <w:r>
        <w:rPr>
          <w:rFonts w:ascii="Times New Roman" w:hAnsi="TimesNewRoman" w:eastAsia="仿宋_GB2312" w:cs="Times New Roman"/>
          <w:bCs/>
          <w:sz w:val="32"/>
          <w:szCs w:val="32"/>
        </w:rPr>
        <w:t>、中共淮北市委保健委员会办公室</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年政府购买服务支出表</w:t>
      </w:r>
    </w:p>
    <w:p w14:paraId="7A17CC90">
      <w:pPr>
        <w:pStyle w:val="4"/>
        <w:adjustRightInd w:val="0"/>
        <w:snapToGrid w:val="0"/>
        <w:spacing w:line="400" w:lineRule="exact"/>
        <w:ind w:firstLine="643" w:firstLineChars="200"/>
        <w:rPr>
          <w:rFonts w:ascii="Times New Roman" w:hAnsi="Times New Roman" w:eastAsia="仿宋_GB2312" w:cs="Times New Roman"/>
          <w:b/>
          <w:sz w:val="32"/>
          <w:szCs w:val="32"/>
        </w:rPr>
      </w:pPr>
      <w:r>
        <w:rPr>
          <w:rFonts w:ascii="Times New Roman" w:hAnsi="TimesNewRoman" w:eastAsia="仿宋_GB2312" w:cs="Times New Roman"/>
          <w:b/>
          <w:sz w:val="32"/>
          <w:szCs w:val="32"/>
        </w:rPr>
        <w:t>第三部分</w:t>
      </w:r>
      <w:r>
        <w:rPr>
          <w:rFonts w:ascii="Times New Roman" w:hAnsi="Times New Roman" w:eastAsia="仿宋_GB2312" w:cs="Times New Roman"/>
          <w:b/>
          <w:sz w:val="32"/>
          <w:szCs w:val="32"/>
        </w:rPr>
        <w:t xml:space="preserve"> 2023</w:t>
      </w:r>
      <w:r>
        <w:rPr>
          <w:rFonts w:ascii="Times New Roman" w:hAnsi="TimesNewRoman" w:eastAsia="仿宋_GB2312" w:cs="Times New Roman"/>
          <w:b/>
          <w:sz w:val="32"/>
          <w:szCs w:val="32"/>
        </w:rPr>
        <w:t>年部门（单位）预算情况说明</w:t>
      </w:r>
    </w:p>
    <w:p w14:paraId="13C83D32">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年收支总表的说明</w:t>
      </w:r>
    </w:p>
    <w:p w14:paraId="28CAEC70">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年收入总表的说明</w:t>
      </w:r>
    </w:p>
    <w:p w14:paraId="79754F88">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3</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年支出总表的说明</w:t>
      </w:r>
    </w:p>
    <w:p w14:paraId="7DB9FFB8">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4</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年财政拨款收支总表的说明</w:t>
      </w:r>
    </w:p>
    <w:p w14:paraId="6F2B9EC4">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5</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年一般公共预算支出表的说明</w:t>
      </w:r>
    </w:p>
    <w:p w14:paraId="6EAF56CC">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6</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年一般公共预算基本支出表的说明</w:t>
      </w:r>
    </w:p>
    <w:p w14:paraId="3CF5289E">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7</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年政府性基金预算支出表的说明</w:t>
      </w:r>
    </w:p>
    <w:p w14:paraId="5B057BD6">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8</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年国有资本经营预算支出表的说明</w:t>
      </w:r>
    </w:p>
    <w:p w14:paraId="5598711A">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9</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年项目支出表的说明</w:t>
      </w:r>
    </w:p>
    <w:p w14:paraId="51B9AC49">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10</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年政府采购支出表的说明</w:t>
      </w:r>
    </w:p>
    <w:p w14:paraId="4AE15705">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年政府购买服务支出表的说明</w:t>
      </w:r>
    </w:p>
    <w:p w14:paraId="74C02CD2">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12</w:t>
      </w:r>
      <w:r>
        <w:rPr>
          <w:rFonts w:ascii="Times New Roman" w:hAnsi="TimesNewRoman" w:eastAsia="仿宋_GB2312" w:cs="Times New Roman"/>
          <w:bCs/>
          <w:sz w:val="32"/>
          <w:szCs w:val="32"/>
        </w:rPr>
        <w:t>、其他重要事项情况说明</w:t>
      </w:r>
    </w:p>
    <w:p w14:paraId="68084C2B">
      <w:pPr>
        <w:pStyle w:val="4"/>
        <w:adjustRightInd w:val="0"/>
        <w:snapToGrid w:val="0"/>
        <w:spacing w:line="400" w:lineRule="exact"/>
        <w:ind w:firstLine="643" w:firstLineChars="200"/>
        <w:rPr>
          <w:rFonts w:ascii="Times New Roman" w:hAnsi="Times New Roman" w:eastAsia="仿宋_GB2312" w:cs="Times New Roman"/>
          <w:b/>
          <w:sz w:val="32"/>
          <w:szCs w:val="32"/>
        </w:rPr>
      </w:pPr>
      <w:r>
        <w:rPr>
          <w:rFonts w:ascii="Times New Roman" w:hAnsi="TimesNewRoman" w:eastAsia="仿宋_GB2312" w:cs="Times New Roman"/>
          <w:b/>
          <w:sz w:val="32"/>
          <w:szCs w:val="32"/>
        </w:rPr>
        <w:t>第四部分</w:t>
      </w:r>
      <w:r>
        <w:rPr>
          <w:rFonts w:ascii="Times New Roman" w:hAnsi="Times New Roman" w:eastAsia="仿宋_GB2312" w:cs="Times New Roman"/>
          <w:b/>
          <w:sz w:val="32"/>
          <w:szCs w:val="32"/>
        </w:rPr>
        <w:t xml:space="preserve"> </w:t>
      </w:r>
      <w:r>
        <w:rPr>
          <w:rFonts w:ascii="Times New Roman" w:hAnsi="TimesNewRoman" w:eastAsia="仿宋_GB2312" w:cs="Times New Roman"/>
          <w:b/>
          <w:sz w:val="32"/>
          <w:szCs w:val="32"/>
        </w:rPr>
        <w:t>名词解释</w:t>
      </w:r>
    </w:p>
    <w:p w14:paraId="118E61FF">
      <w:pPr>
        <w:pStyle w:val="4"/>
        <w:adjustRightInd w:val="0"/>
        <w:snapToGrid w:val="0"/>
        <w:spacing w:line="400" w:lineRule="exact"/>
        <w:ind w:firstLine="643" w:firstLineChars="200"/>
        <w:rPr>
          <w:rFonts w:ascii="Times New Roman" w:hAnsi="Times New Roman" w:eastAsia="仿宋_GB2312" w:cs="Times New Roman"/>
          <w:b/>
          <w:sz w:val="32"/>
          <w:szCs w:val="32"/>
        </w:rPr>
      </w:pPr>
      <w:r>
        <w:rPr>
          <w:rFonts w:ascii="Times New Roman" w:hAnsi="TimesNewRoman" w:eastAsia="仿宋_GB2312" w:cs="Times New Roman"/>
          <w:b/>
          <w:sz w:val="32"/>
          <w:szCs w:val="32"/>
        </w:rPr>
        <w:t>第五部分</w:t>
      </w:r>
      <w:r>
        <w:rPr>
          <w:rFonts w:ascii="Times New Roman" w:hAnsi="Times New Roman" w:eastAsia="仿宋_GB2312" w:cs="Times New Roman"/>
          <w:b/>
          <w:sz w:val="32"/>
          <w:szCs w:val="32"/>
        </w:rPr>
        <w:t xml:space="preserve"> </w:t>
      </w:r>
      <w:r>
        <w:rPr>
          <w:rFonts w:ascii="Times New Roman" w:hAnsi="TimesNewRoman" w:eastAsia="仿宋_GB2312" w:cs="Times New Roman"/>
          <w:b/>
          <w:sz w:val="32"/>
          <w:szCs w:val="32"/>
        </w:rPr>
        <w:t>其它公开事项</w:t>
      </w:r>
    </w:p>
    <w:p w14:paraId="503F2F01">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ascii="Times New Roman" w:hAnsi="TimesNewRoman" w:eastAsia="仿宋_GB2312" w:cs="Times New Roman"/>
          <w:bCs/>
          <w:sz w:val="32"/>
          <w:szCs w:val="32"/>
        </w:rPr>
        <w:t>、中共淮北市委保健委员会办公室</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年部门预算纳入绩效考评项目表</w:t>
      </w:r>
    </w:p>
    <w:p w14:paraId="4F70002D">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ascii="Times New Roman" w:hAnsi="TimesNewRoman" w:eastAsia="仿宋_GB2312" w:cs="Times New Roman"/>
          <w:bCs/>
          <w:sz w:val="32"/>
          <w:szCs w:val="32"/>
        </w:rPr>
        <w:t>、中共淮北市委保健委员会办公室</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年部门预算专项资金管理清单（专栏公开）</w:t>
      </w:r>
    </w:p>
    <w:p w14:paraId="3B92D978">
      <w:pPr>
        <w:pStyle w:val="4"/>
        <w:adjustRightInd w:val="0"/>
        <w:snapToGrid w:val="0"/>
        <w:spacing w:line="400" w:lineRule="exact"/>
        <w:ind w:firstLine="800" w:firstLineChars="250"/>
        <w:rPr>
          <w:rFonts w:ascii="Times New Roman" w:hAnsi="Times New Roman" w:eastAsia="仿宋_GB2312" w:cs="Times New Roman"/>
          <w:bCs/>
          <w:sz w:val="32"/>
          <w:szCs w:val="32"/>
        </w:rPr>
      </w:pPr>
    </w:p>
    <w:p w14:paraId="67EB1642">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NewRoman" w:eastAsia="黑体" w:cs="Times New Roman"/>
          <w:bCs/>
          <w:sz w:val="36"/>
          <w:szCs w:val="36"/>
        </w:rPr>
        <w:t>第一部分</w:t>
      </w:r>
      <w:r>
        <w:rPr>
          <w:rFonts w:ascii="Times New Roman" w:hAnsi="Times New Roman" w:eastAsia="黑体" w:cs="Times New Roman"/>
          <w:bCs/>
          <w:sz w:val="36"/>
          <w:szCs w:val="36"/>
        </w:rPr>
        <w:t xml:space="preserve"> </w:t>
      </w:r>
      <w:r>
        <w:rPr>
          <w:rFonts w:ascii="Times New Roman" w:hAnsi="TimesNewRoman" w:eastAsia="黑体" w:cs="Times New Roman"/>
          <w:bCs/>
          <w:sz w:val="36"/>
          <w:szCs w:val="36"/>
        </w:rPr>
        <w:t>部门（单位）概况</w:t>
      </w:r>
    </w:p>
    <w:p w14:paraId="54CC41D4">
      <w:pPr>
        <w:rPr>
          <w:rFonts w:ascii="Times New Roman" w:hAnsi="Times New Roman" w:cs="Times New Roman"/>
        </w:rPr>
      </w:pPr>
    </w:p>
    <w:p w14:paraId="6194BC0D">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一、主要职责</w:t>
      </w:r>
    </w:p>
    <w:p w14:paraId="70F35413">
      <w:pPr>
        <w:pStyle w:val="4"/>
        <w:adjustRightInd w:val="0"/>
        <w:snapToGrid w:val="0"/>
        <w:spacing w:before="0" w:beforeAutospacing="0" w:after="0" w:afterAutospacing="0" w:line="360" w:lineRule="auto"/>
        <w:ind w:firstLine="627" w:firstLineChars="196"/>
        <w:jc w:val="both"/>
        <w:rPr>
          <w:rFonts w:ascii="Times New Roman" w:hAnsi="Times New Roman" w:eastAsia="仿宋_GB2312" w:cs="Times New Roman"/>
          <w:bCs/>
          <w:sz w:val="32"/>
          <w:szCs w:val="32"/>
        </w:rPr>
      </w:pPr>
      <w:r>
        <w:rPr>
          <w:rFonts w:ascii="Times New Roman" w:hAnsi="仿宋_GB2312" w:eastAsia="仿宋_GB2312" w:cs="Times New Roman"/>
          <w:bCs/>
          <w:sz w:val="32"/>
          <w:szCs w:val="32"/>
        </w:rPr>
        <w:t>因本单位工作性质原因，此部分不宜公开。</w:t>
      </w:r>
    </w:p>
    <w:p w14:paraId="12C89D82">
      <w:pPr>
        <w:pStyle w:val="4"/>
        <w:adjustRightInd w:val="0"/>
        <w:snapToGrid w:val="0"/>
        <w:spacing w:before="0" w:beforeAutospacing="0" w:after="0" w:afterAutospacing="0" w:line="360" w:lineRule="auto"/>
        <w:ind w:firstLine="627" w:firstLineChars="196"/>
        <w:jc w:val="both"/>
        <w:rPr>
          <w:rFonts w:ascii="Times New Roman" w:hAnsi="Times New Roman" w:cs="Times New Roman"/>
        </w:rPr>
      </w:pPr>
      <w:r>
        <w:rPr>
          <w:rFonts w:ascii="Times New Roman" w:hAnsi="黑体" w:eastAsia="黑体" w:cs="Times New Roman"/>
          <w:bCs/>
          <w:sz w:val="32"/>
          <w:szCs w:val="32"/>
        </w:rPr>
        <w:t>二、部门预算单位构成</w:t>
      </w:r>
    </w:p>
    <w:p w14:paraId="04FA5906">
      <w:pPr>
        <w:pStyle w:val="4"/>
        <w:adjustRightInd w:val="0"/>
        <w:snapToGrid w:val="0"/>
        <w:spacing w:before="0" w:beforeAutospacing="0" w:after="0" w:afterAutospacing="0" w:line="360" w:lineRule="auto"/>
        <w:ind w:firstLine="627" w:firstLineChars="19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从预算单位构成看，</w:t>
      </w:r>
      <w:r>
        <w:rPr>
          <w:rFonts w:ascii="Times New Roman" w:hAnsi="Times New Roman" w:eastAsia="仿宋_GB2312" w:cs="Times New Roman"/>
          <w:bCs/>
          <w:sz w:val="32"/>
          <w:szCs w:val="32"/>
        </w:rPr>
        <w:t>淮北市委保健委员会办公室</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年度部门预算包括局（委）本级预算和局（委）下属单位预算，纳入部门预算编制范围的单位共1个，具体情况见下表。</w:t>
      </w:r>
    </w:p>
    <w:tbl>
      <w:tblPr>
        <w:tblStyle w:val="5"/>
        <w:tblW w:w="9000" w:type="dxa"/>
        <w:tblInd w:w="288" w:type="dxa"/>
        <w:shd w:val="clear" w:color="auto" w:fill="FFFFFF"/>
        <w:tblLayout w:type="fixed"/>
        <w:tblCellMar>
          <w:top w:w="0" w:type="dxa"/>
          <w:left w:w="0" w:type="dxa"/>
          <w:bottom w:w="0" w:type="dxa"/>
          <w:right w:w="0" w:type="dxa"/>
        </w:tblCellMar>
      </w:tblPr>
      <w:tblGrid>
        <w:gridCol w:w="900"/>
        <w:gridCol w:w="3600"/>
        <w:gridCol w:w="4500"/>
      </w:tblGrid>
      <w:tr w14:paraId="48692783">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5E060EB4">
            <w:pPr>
              <w:adjustRightInd w:val="0"/>
              <w:snapToGrid w:val="0"/>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序号</w:t>
            </w:r>
          </w:p>
        </w:tc>
        <w:tc>
          <w:tcPr>
            <w:tcW w:w="3600"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D3FECE5">
            <w:pPr>
              <w:adjustRightInd w:val="0"/>
              <w:snapToGrid w:val="0"/>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单位名称</w:t>
            </w:r>
          </w:p>
        </w:tc>
        <w:tc>
          <w:tcPr>
            <w:tcW w:w="4500" w:type="dxa"/>
            <w:tcBorders>
              <w:top w:val="single" w:color="auto" w:sz="8" w:space="0"/>
              <w:left w:val="nil"/>
              <w:bottom w:val="single" w:color="auto" w:sz="8" w:space="0"/>
              <w:right w:val="single" w:color="auto" w:sz="8" w:space="0"/>
            </w:tcBorders>
            <w:shd w:val="clear" w:color="auto" w:fill="FFFFFF"/>
            <w:noWrap/>
          </w:tcPr>
          <w:p w14:paraId="49B3D3BE">
            <w:pPr>
              <w:adjustRightInd w:val="0"/>
              <w:snapToGrid w:val="0"/>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单位性质</w:t>
            </w:r>
          </w:p>
        </w:tc>
      </w:tr>
      <w:tr w14:paraId="4690A426">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C179857">
            <w:pPr>
              <w:adjustRightInd w:val="0"/>
              <w:snapToGrid w:val="0"/>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36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98724A0">
            <w:pPr>
              <w:adjustRightInd w:val="0"/>
              <w:snapToGrid w:val="0"/>
              <w:spacing w:line="360" w:lineRule="auto"/>
              <w:rPr>
                <w:rFonts w:ascii="Times New Roman" w:hAnsi="Times New Roman" w:eastAsia="仿宋_GB2312" w:cs="Times New Roman"/>
                <w:sz w:val="24"/>
                <w:u w:val="single"/>
              </w:rPr>
            </w:pPr>
            <w:r>
              <w:rPr>
                <w:rFonts w:ascii="Times New Roman" w:hAnsi="Times New Roman" w:eastAsia="仿宋_GB2312" w:cs="Times New Roman"/>
                <w:bCs/>
                <w:sz w:val="24"/>
              </w:rPr>
              <w:t>淮北市委保健委员会办公室本级</w:t>
            </w:r>
          </w:p>
        </w:tc>
        <w:tc>
          <w:tcPr>
            <w:tcW w:w="4500" w:type="dxa"/>
            <w:tcBorders>
              <w:top w:val="nil"/>
              <w:left w:val="nil"/>
              <w:bottom w:val="single" w:color="auto" w:sz="8" w:space="0"/>
              <w:right w:val="single" w:color="auto" w:sz="8" w:space="0"/>
            </w:tcBorders>
            <w:shd w:val="clear" w:color="auto" w:fill="FFFFFF"/>
            <w:noWrap/>
          </w:tcPr>
          <w:p w14:paraId="2CB734C3">
            <w:pPr>
              <w:adjustRightInd w:val="0"/>
              <w:snapToGrid w:val="0"/>
              <w:spacing w:line="360" w:lineRule="auto"/>
              <w:rPr>
                <w:rFonts w:ascii="Times New Roman" w:hAnsi="Times New Roman" w:eastAsia="仿宋_GB2312" w:cs="Times New Roman"/>
                <w:sz w:val="24"/>
                <w:u w:val="single"/>
              </w:rPr>
            </w:pPr>
            <w:r>
              <w:rPr>
                <w:rFonts w:ascii="Times New Roman" w:hAnsi="Times New Roman" w:eastAsia="仿宋_GB2312" w:cs="Times New Roman"/>
                <w:bCs/>
                <w:sz w:val="24"/>
              </w:rPr>
              <w:t>参照公务员法管理的事业单位</w:t>
            </w:r>
          </w:p>
        </w:tc>
      </w:tr>
    </w:tbl>
    <w:p w14:paraId="072EDEAE">
      <w:pPr>
        <w:pStyle w:val="4"/>
        <w:adjustRightInd w:val="0"/>
        <w:snapToGrid w:val="0"/>
        <w:spacing w:before="0" w:beforeAutospacing="0" w:after="0" w:afterAutospacing="0" w:line="560" w:lineRule="exact"/>
        <w:ind w:firstLine="627" w:firstLineChars="196"/>
        <w:rPr>
          <w:rFonts w:ascii="Times New Roman" w:hAnsi="Times New Roman" w:eastAsia="黑体" w:cs="Times New Roman"/>
          <w:bCs/>
          <w:sz w:val="32"/>
          <w:szCs w:val="32"/>
        </w:rPr>
      </w:pPr>
      <w:r>
        <w:rPr>
          <w:rFonts w:ascii="Times New Roman" w:hAnsi="黑体" w:eastAsia="黑体" w:cs="Times New Roman"/>
          <w:bCs/>
          <w:sz w:val="32"/>
          <w:szCs w:val="32"/>
        </w:rPr>
        <w:t>三、</w:t>
      </w:r>
      <w:r>
        <w:rPr>
          <w:rFonts w:ascii="Times New Roman" w:hAnsi="Times New Roman" w:eastAsia="黑体" w:cs="Times New Roman"/>
          <w:bCs/>
          <w:sz w:val="32"/>
          <w:szCs w:val="32"/>
        </w:rPr>
        <w:t>202</w:t>
      </w:r>
      <w:r>
        <w:rPr>
          <w:rFonts w:hint="eastAsia" w:ascii="Times New Roman" w:hAnsi="Times New Roman" w:eastAsia="黑体" w:cs="Times New Roman"/>
          <w:bCs/>
          <w:sz w:val="32"/>
          <w:szCs w:val="32"/>
        </w:rPr>
        <w:t>3</w:t>
      </w:r>
      <w:r>
        <w:rPr>
          <w:rFonts w:ascii="Times New Roman" w:hAnsi="黑体" w:eastAsia="黑体" w:cs="Times New Roman"/>
          <w:bCs/>
          <w:sz w:val="32"/>
          <w:szCs w:val="32"/>
        </w:rPr>
        <w:t>年度主要工作任务</w:t>
      </w:r>
    </w:p>
    <w:p w14:paraId="50B86D36">
      <w:pPr>
        <w:pStyle w:val="4"/>
        <w:adjustRightInd w:val="0"/>
        <w:snapToGrid w:val="0"/>
        <w:spacing w:before="0" w:beforeAutospacing="0" w:after="0" w:afterAutospacing="0" w:line="360" w:lineRule="auto"/>
        <w:ind w:firstLine="627" w:firstLineChars="196"/>
        <w:jc w:val="both"/>
        <w:rPr>
          <w:rFonts w:ascii="Times New Roman" w:hAnsi="Times New Roman" w:eastAsia="仿宋_GB2312" w:cs="Times New Roman"/>
          <w:bCs/>
          <w:sz w:val="32"/>
          <w:szCs w:val="32"/>
        </w:rPr>
      </w:pPr>
      <w:r>
        <w:rPr>
          <w:rFonts w:ascii="Times New Roman" w:hAnsi="仿宋_GB2312" w:eastAsia="仿宋_GB2312" w:cs="Times New Roman"/>
          <w:bCs/>
          <w:sz w:val="32"/>
          <w:szCs w:val="32"/>
        </w:rPr>
        <w:t>因本单位工作性质原因，此部分不宜公开。</w:t>
      </w:r>
    </w:p>
    <w:p w14:paraId="18FE3D13">
      <w:pPr>
        <w:pStyle w:val="4"/>
        <w:adjustRightInd w:val="0"/>
        <w:snapToGrid w:val="0"/>
        <w:spacing w:before="0" w:beforeAutospacing="0" w:after="0" w:afterAutospacing="0" w:line="360" w:lineRule="auto"/>
        <w:ind w:firstLine="627" w:firstLineChars="196"/>
        <w:jc w:val="both"/>
        <w:rPr>
          <w:rFonts w:ascii="Times New Roman" w:hAnsi="Times New Roman" w:eastAsia="仿宋_GB2312" w:cs="Times New Roman"/>
          <w:bCs/>
          <w:sz w:val="32"/>
          <w:szCs w:val="32"/>
        </w:rPr>
      </w:pPr>
    </w:p>
    <w:p w14:paraId="7B8899A5">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NewRoman" w:eastAsia="黑体" w:cs="Times New Roman"/>
          <w:bCs/>
          <w:sz w:val="36"/>
          <w:szCs w:val="36"/>
        </w:rPr>
        <w:t>第二部分</w:t>
      </w:r>
      <w:r>
        <w:rPr>
          <w:rFonts w:ascii="Times New Roman" w:hAnsi="Times New Roman" w:eastAsia="黑体" w:cs="Times New Roman"/>
          <w:bCs/>
          <w:sz w:val="36"/>
          <w:szCs w:val="36"/>
        </w:rPr>
        <w:t xml:space="preserve"> 2023</w:t>
      </w:r>
      <w:r>
        <w:rPr>
          <w:rFonts w:ascii="Times New Roman" w:hAnsi="TimesNewRoman" w:eastAsia="黑体" w:cs="Times New Roman"/>
          <w:bCs/>
          <w:sz w:val="36"/>
          <w:szCs w:val="36"/>
        </w:rPr>
        <w:t>年部门（单位）预算表</w:t>
      </w:r>
    </w:p>
    <w:p w14:paraId="3F9062F7">
      <w:pPr>
        <w:pStyle w:val="4"/>
        <w:adjustRightInd w:val="0"/>
        <w:snapToGrid w:val="0"/>
        <w:spacing w:line="560" w:lineRule="exact"/>
        <w:ind w:firstLine="627" w:firstLineChars="196"/>
        <w:jc w:val="center"/>
        <w:rPr>
          <w:rFonts w:ascii="Times New Roman" w:hAnsi="Times New Roman" w:eastAsia="仿宋_GB2312" w:cs="Times New Roman"/>
          <w:bCs/>
          <w:sz w:val="32"/>
          <w:szCs w:val="32"/>
        </w:rPr>
      </w:pPr>
      <w:r>
        <w:rPr>
          <w:rFonts w:ascii="Times New Roman" w:hAnsi="TimesNewRoman" w:eastAsia="仿宋_GB2312" w:cs="Times New Roman"/>
          <w:bCs/>
          <w:sz w:val="32"/>
          <w:szCs w:val="32"/>
        </w:rPr>
        <w:t>见附件</w:t>
      </w:r>
      <w:r>
        <w:rPr>
          <w:rFonts w:ascii="Times New Roman" w:hAnsi="Times New Roman" w:eastAsia="仿宋_GB2312" w:cs="Times New Roman"/>
          <w:bCs/>
          <w:sz w:val="32"/>
          <w:szCs w:val="32"/>
        </w:rPr>
        <w:t>1-2</w:t>
      </w:r>
    </w:p>
    <w:p w14:paraId="28466591">
      <w:pPr>
        <w:rPr>
          <w:rFonts w:ascii="Times New Roman" w:hAnsi="Times New Roman" w:cs="Times New Roman"/>
        </w:rPr>
      </w:pPr>
    </w:p>
    <w:p w14:paraId="1D47557A">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NewRoman" w:eastAsia="黑体" w:cs="Times New Roman"/>
          <w:bCs/>
          <w:sz w:val="36"/>
          <w:szCs w:val="36"/>
        </w:rPr>
        <w:t>第三部分</w:t>
      </w:r>
      <w:r>
        <w:rPr>
          <w:rFonts w:ascii="Times New Roman" w:hAnsi="Times New Roman" w:eastAsia="黑体" w:cs="Times New Roman"/>
          <w:bCs/>
          <w:sz w:val="36"/>
          <w:szCs w:val="36"/>
        </w:rPr>
        <w:t xml:space="preserve"> 2023</w:t>
      </w:r>
      <w:r>
        <w:rPr>
          <w:rFonts w:ascii="Times New Roman" w:hAnsi="TimesNewRoman" w:eastAsia="黑体" w:cs="Times New Roman"/>
          <w:bCs/>
          <w:sz w:val="36"/>
          <w:szCs w:val="36"/>
        </w:rPr>
        <w:t>年部门（单位）预算情况说明</w:t>
      </w:r>
    </w:p>
    <w:p w14:paraId="327E5BBE">
      <w:pPr>
        <w:rPr>
          <w:rFonts w:ascii="Times New Roman" w:hAnsi="Times New Roman" w:cs="Times New Roman"/>
        </w:rPr>
      </w:pPr>
    </w:p>
    <w:p w14:paraId="4FF5AD4F">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一、关于</w:t>
      </w:r>
      <w:r>
        <w:rPr>
          <w:rFonts w:ascii="Times New Roman" w:hAnsi="Times New Roman" w:eastAsia="黑体" w:cs="Times New Roman"/>
          <w:bCs/>
          <w:sz w:val="32"/>
          <w:szCs w:val="32"/>
        </w:rPr>
        <w:t>2023</w:t>
      </w:r>
      <w:r>
        <w:rPr>
          <w:rFonts w:ascii="Times New Roman" w:hAnsi="TimesNewRoman" w:eastAsia="黑体" w:cs="Times New Roman"/>
          <w:bCs/>
          <w:sz w:val="32"/>
          <w:szCs w:val="32"/>
        </w:rPr>
        <w:t>年收支总表的说明</w:t>
      </w:r>
    </w:p>
    <w:p w14:paraId="0E15425E">
      <w:pPr>
        <w:pStyle w:val="4"/>
        <w:adjustRightInd w:val="0"/>
        <w:snapToGrid w:val="0"/>
        <w:spacing w:line="560" w:lineRule="exact"/>
        <w:ind w:firstLine="627" w:firstLineChars="196"/>
        <w:rPr>
          <w:rFonts w:ascii="Times New Roman" w:hAnsi="Times New Roman" w:eastAsia="仿宋_GB2312" w:cs="Times New Roman"/>
          <w:sz w:val="32"/>
          <w:szCs w:val="32"/>
        </w:rPr>
      </w:pPr>
      <w:r>
        <w:rPr>
          <w:rFonts w:ascii="Times New Roman" w:hAnsi="TimesNewRoman" w:eastAsia="仿宋_GB2312" w:cs="Times New Roman"/>
          <w:sz w:val="32"/>
          <w:szCs w:val="32"/>
        </w:rPr>
        <w:t>按照综合预算的原则，中共淮北市委保健委员会办公室所有收入和支出均纳入部门（单位）预算管理。中共淮北市委保健委员会办公室</w:t>
      </w:r>
      <w:r>
        <w:rPr>
          <w:rFonts w:ascii="Times New Roman" w:hAnsi="Times New Roman" w:eastAsia="仿宋_GB2312" w:cs="Times New Roman"/>
          <w:sz w:val="32"/>
          <w:szCs w:val="32"/>
        </w:rPr>
        <w:t>2023</w:t>
      </w:r>
      <w:r>
        <w:rPr>
          <w:rFonts w:ascii="Times New Roman" w:hAnsi="TimesNewRoman" w:eastAsia="仿宋_GB2312" w:cs="Times New Roman"/>
          <w:sz w:val="32"/>
          <w:szCs w:val="32"/>
        </w:rPr>
        <w:t>年收支总预算</w:t>
      </w:r>
      <w:r>
        <w:rPr>
          <w:rFonts w:ascii="Times New Roman" w:hAnsi="Times New Roman" w:eastAsia="仿宋_GB2312" w:cs="Times New Roman"/>
          <w:sz w:val="32"/>
          <w:szCs w:val="32"/>
        </w:rPr>
        <w:t>82.07</w:t>
      </w:r>
      <w:r>
        <w:rPr>
          <w:rFonts w:ascii="Times New Roman" w:hAnsi="TimesNewRoman" w:eastAsia="仿宋_GB2312" w:cs="Times New Roman"/>
          <w:sz w:val="32"/>
          <w:szCs w:val="32"/>
        </w:rPr>
        <w:t>万元，</w:t>
      </w:r>
      <w:r>
        <w:rPr>
          <w:rFonts w:hint="eastAsia" w:ascii="TimesNewRoman" w:hAnsi="TimesNewRoman" w:eastAsia="仿宋_GB2312" w:cs="TimesNewRoman"/>
          <w:sz w:val="32"/>
          <w:szCs w:val="32"/>
        </w:rPr>
        <w:t>收入</w:t>
      </w:r>
      <w:r>
        <w:rPr>
          <w:rFonts w:hint="eastAsia" w:ascii="TimesNewRoman" w:hAnsi="TimesNewRoman" w:eastAsia="仿宋_GB2312" w:cs="TimesNewRoman"/>
          <w:sz w:val="32"/>
          <w:szCs w:val="32"/>
          <w:lang w:val="en-US" w:eastAsia="zh-CN"/>
        </w:rPr>
        <w:t>全部为</w:t>
      </w:r>
      <w:r>
        <w:rPr>
          <w:rFonts w:hint="eastAsia" w:ascii="TimesNewRoman" w:hAnsi="TimesNewRoman" w:eastAsia="仿宋_GB2312" w:cs="TimesNewRoman"/>
          <w:sz w:val="32"/>
          <w:szCs w:val="32"/>
        </w:rPr>
        <w:t>一般公共预算拨款收入</w:t>
      </w:r>
      <w:r>
        <w:rPr>
          <w:rFonts w:hint="eastAsia" w:ascii="Times New Roman" w:hAnsi="Times New Roman" w:eastAsia="仿宋_GB2312" w:cs="Times New Roman"/>
          <w:sz w:val="32"/>
          <w:szCs w:val="32"/>
          <w:lang w:val="en-US" w:eastAsia="zh-CN"/>
        </w:rPr>
        <w:t>82.07</w:t>
      </w:r>
      <w:r>
        <w:rPr>
          <w:rFonts w:hint="eastAsia" w:ascii="TimesNewRoman" w:hAnsi="TimesNewRoman" w:eastAsia="仿宋_GB2312" w:cs="TimesNewRoman"/>
          <w:sz w:val="32"/>
          <w:szCs w:val="32"/>
          <w:lang w:val="en-US" w:eastAsia="zh-CN"/>
        </w:rPr>
        <w:t>万元</w:t>
      </w:r>
      <w:r>
        <w:rPr>
          <w:rFonts w:ascii="Times New Roman" w:hAnsi="TimesNewRoman" w:eastAsia="仿宋_GB2312" w:cs="Times New Roman"/>
          <w:sz w:val="32"/>
          <w:szCs w:val="32"/>
        </w:rPr>
        <w:t>，支出包括：社会保障和就业支出、卫生健康支出、住房保障支出。</w:t>
      </w:r>
    </w:p>
    <w:p w14:paraId="0757AD21">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二、关于</w:t>
      </w:r>
      <w:r>
        <w:rPr>
          <w:rFonts w:ascii="Times New Roman" w:hAnsi="Times New Roman" w:eastAsia="黑体" w:cs="Times New Roman"/>
          <w:bCs/>
          <w:sz w:val="32"/>
          <w:szCs w:val="32"/>
        </w:rPr>
        <w:t>2023</w:t>
      </w:r>
      <w:r>
        <w:rPr>
          <w:rFonts w:ascii="Times New Roman" w:hAnsi="TimesNewRoman" w:eastAsia="黑体" w:cs="Times New Roman"/>
          <w:bCs/>
          <w:sz w:val="32"/>
          <w:szCs w:val="32"/>
        </w:rPr>
        <w:t>年收入总表的说明</w:t>
      </w:r>
    </w:p>
    <w:p w14:paraId="2B79BE55">
      <w:pPr>
        <w:ind w:firstLine="640" w:firstLineChars="200"/>
        <w:rPr>
          <w:rFonts w:ascii="Times New Roman" w:hAnsi="Times New Roman" w:eastAsia="仿宋_GB2312" w:cs="Times New Roman"/>
          <w:kern w:val="0"/>
          <w:sz w:val="32"/>
          <w:szCs w:val="32"/>
        </w:rPr>
      </w:pPr>
      <w:r>
        <w:rPr>
          <w:rFonts w:ascii="Times New Roman" w:hAnsi="TimesNewRoman" w:eastAsia="仿宋_GB2312" w:cs="Times New Roman"/>
          <w:kern w:val="0"/>
          <w:sz w:val="32"/>
          <w:szCs w:val="32"/>
        </w:rPr>
        <w:t>中共淮北市委保健委员会办公室</w:t>
      </w:r>
      <w:r>
        <w:rPr>
          <w:rFonts w:ascii="Times New Roman" w:hAnsi="Times New Roman" w:eastAsia="仿宋_GB2312" w:cs="Times New Roman"/>
          <w:kern w:val="0"/>
          <w:sz w:val="32"/>
          <w:szCs w:val="32"/>
        </w:rPr>
        <w:t>2023</w:t>
      </w:r>
      <w:r>
        <w:rPr>
          <w:rFonts w:ascii="Times New Roman" w:hAnsi="TimesNewRoman" w:eastAsia="仿宋_GB2312" w:cs="Times New Roman"/>
          <w:kern w:val="0"/>
          <w:sz w:val="32"/>
          <w:szCs w:val="32"/>
        </w:rPr>
        <w:t>年收入预算</w:t>
      </w:r>
      <w:r>
        <w:rPr>
          <w:rFonts w:ascii="Times New Roman" w:hAnsi="Times New Roman" w:eastAsia="仿宋_GB2312" w:cs="Times New Roman"/>
          <w:kern w:val="0"/>
          <w:sz w:val="32"/>
          <w:szCs w:val="32"/>
        </w:rPr>
        <w:t>82.07</w:t>
      </w:r>
      <w:r>
        <w:rPr>
          <w:rFonts w:ascii="Times New Roman" w:hAnsi="TimesNewRoman" w:eastAsia="仿宋_GB2312" w:cs="Times New Roman"/>
          <w:kern w:val="0"/>
          <w:sz w:val="32"/>
          <w:szCs w:val="32"/>
        </w:rPr>
        <w:t>万元，其中，本年收入</w:t>
      </w:r>
      <w:r>
        <w:rPr>
          <w:rFonts w:ascii="Times New Roman" w:hAnsi="Times New Roman" w:eastAsia="仿宋_GB2312" w:cs="Times New Roman"/>
          <w:kern w:val="0"/>
          <w:sz w:val="32"/>
          <w:szCs w:val="32"/>
        </w:rPr>
        <w:t>82.07</w:t>
      </w:r>
      <w:r>
        <w:rPr>
          <w:rFonts w:ascii="Times New Roman" w:hAnsi="TimesNewRoman" w:eastAsia="仿宋_GB2312" w:cs="Times New Roman"/>
          <w:kern w:val="0"/>
          <w:sz w:val="32"/>
          <w:szCs w:val="32"/>
        </w:rPr>
        <w:t>万元。</w:t>
      </w:r>
    </w:p>
    <w:p w14:paraId="6536A656">
      <w:pPr>
        <w:ind w:firstLine="643" w:firstLineChars="200"/>
        <w:rPr>
          <w:rFonts w:hint="eastAsia" w:ascii="Times New Roman" w:hAnsi="Times New Roman" w:eastAsia="仿宋_GB2312" w:cs="Times New Roman"/>
          <w:kern w:val="0"/>
          <w:sz w:val="32"/>
          <w:szCs w:val="32"/>
          <w:lang w:val="en-US" w:eastAsia="zh-CN"/>
        </w:rPr>
      </w:pPr>
      <w:r>
        <w:rPr>
          <w:rFonts w:ascii="Times New Roman" w:hAnsi="TimesNewRoman" w:eastAsia="仿宋_GB2312" w:cs="Times New Roman"/>
          <w:b/>
          <w:kern w:val="0"/>
          <w:sz w:val="32"/>
          <w:szCs w:val="32"/>
        </w:rPr>
        <w:t>（一）本年收入</w:t>
      </w:r>
      <w:r>
        <w:rPr>
          <w:rFonts w:ascii="Times New Roman" w:hAnsi="Times New Roman" w:eastAsia="仿宋_GB2312" w:cs="Times New Roman"/>
          <w:b/>
          <w:kern w:val="0"/>
          <w:sz w:val="32"/>
          <w:szCs w:val="32"/>
        </w:rPr>
        <w:t>82.07</w:t>
      </w:r>
      <w:r>
        <w:rPr>
          <w:rFonts w:ascii="Times New Roman" w:hAnsi="TimesNewRoman" w:eastAsia="仿宋_GB2312" w:cs="Times New Roman"/>
          <w:b/>
          <w:kern w:val="0"/>
          <w:sz w:val="32"/>
          <w:szCs w:val="32"/>
        </w:rPr>
        <w:t>万元，</w:t>
      </w:r>
      <w:r>
        <w:rPr>
          <w:rFonts w:ascii="Times New Roman" w:hAnsi="TimesNewRoman" w:eastAsia="仿宋_GB2312" w:cs="Times New Roman"/>
          <w:kern w:val="0"/>
          <w:sz w:val="32"/>
          <w:szCs w:val="32"/>
        </w:rPr>
        <w:t>主要包括：一般公共预算拨款收入</w:t>
      </w:r>
      <w:r>
        <w:rPr>
          <w:rFonts w:ascii="Times New Roman" w:hAnsi="Times New Roman" w:eastAsia="仿宋_GB2312" w:cs="Times New Roman"/>
          <w:kern w:val="0"/>
          <w:sz w:val="32"/>
          <w:szCs w:val="32"/>
        </w:rPr>
        <w:t>82.07</w:t>
      </w:r>
      <w:r>
        <w:rPr>
          <w:rFonts w:ascii="Times New Roman" w:hAnsi="TimesNewRoman" w:eastAsia="仿宋_GB2312" w:cs="Times New Roman"/>
          <w:kern w:val="0"/>
          <w:sz w:val="32"/>
          <w:szCs w:val="32"/>
        </w:rPr>
        <w:t>万元，占</w:t>
      </w:r>
      <w:r>
        <w:rPr>
          <w:rFonts w:ascii="Times New Roman" w:hAnsi="Times New Roman" w:eastAsia="仿宋_GB2312" w:cs="Times New Roman"/>
          <w:kern w:val="0"/>
          <w:sz w:val="32"/>
          <w:szCs w:val="32"/>
        </w:rPr>
        <w:t>100%</w:t>
      </w:r>
      <w:r>
        <w:rPr>
          <w:rFonts w:ascii="Times New Roman" w:hAnsi="TimesNewRoman" w:eastAsia="仿宋_GB2312" w:cs="Times New Roman"/>
          <w:kern w:val="0"/>
          <w:sz w:val="32"/>
          <w:szCs w:val="32"/>
        </w:rPr>
        <w:t>，比</w:t>
      </w:r>
      <w:r>
        <w:rPr>
          <w:rFonts w:ascii="Times New Roman" w:hAnsi="Times New Roman" w:eastAsia="仿宋_GB2312" w:cs="Times New Roman"/>
          <w:kern w:val="0"/>
          <w:sz w:val="32"/>
          <w:szCs w:val="32"/>
        </w:rPr>
        <w:t>2022</w:t>
      </w:r>
      <w:r>
        <w:rPr>
          <w:rFonts w:ascii="Times New Roman" w:hAnsi="TimesNewRoman" w:eastAsia="仿宋_GB2312" w:cs="Times New Roman"/>
          <w:kern w:val="0"/>
          <w:sz w:val="32"/>
          <w:szCs w:val="32"/>
        </w:rPr>
        <w:t>年预算增加</w:t>
      </w:r>
      <w:r>
        <w:rPr>
          <w:rFonts w:ascii="Times New Roman" w:hAnsi="Times New Roman" w:eastAsia="仿宋_GB2312" w:cs="Times New Roman"/>
          <w:kern w:val="0"/>
          <w:sz w:val="32"/>
          <w:szCs w:val="32"/>
        </w:rPr>
        <w:t>20.9</w:t>
      </w:r>
      <w:r>
        <w:rPr>
          <w:rFonts w:ascii="Times New Roman" w:hAnsi="TimesNewRoman" w:eastAsia="仿宋_GB2312" w:cs="Times New Roman"/>
          <w:kern w:val="0"/>
          <w:sz w:val="32"/>
          <w:szCs w:val="32"/>
        </w:rPr>
        <w:t>万</w:t>
      </w:r>
      <w:bookmarkStart w:id="0" w:name="_GoBack"/>
      <w:bookmarkEnd w:id="0"/>
      <w:r>
        <w:rPr>
          <w:rFonts w:ascii="Times New Roman" w:hAnsi="TimesNewRoman" w:eastAsia="仿宋_GB2312" w:cs="Times New Roman"/>
          <w:kern w:val="0"/>
          <w:sz w:val="32"/>
          <w:szCs w:val="32"/>
        </w:rPr>
        <w:t>元，增长</w:t>
      </w:r>
      <w:r>
        <w:rPr>
          <w:rFonts w:ascii="Times New Roman" w:hAnsi="Times New Roman" w:eastAsia="仿宋_GB2312" w:cs="Times New Roman"/>
          <w:kern w:val="0"/>
          <w:sz w:val="32"/>
          <w:szCs w:val="32"/>
        </w:rPr>
        <w:t>34.17%</w:t>
      </w:r>
      <w:r>
        <w:rPr>
          <w:rFonts w:ascii="Times New Roman" w:hAnsi="TimesNewRoman" w:eastAsia="仿宋_GB2312" w:cs="Times New Roman"/>
          <w:kern w:val="0"/>
          <w:sz w:val="32"/>
          <w:szCs w:val="32"/>
        </w:rPr>
        <w:t>，原因主要是</w:t>
      </w:r>
      <w:r>
        <w:rPr>
          <w:rFonts w:ascii="Times New Roman" w:hAnsi="Times New Roman" w:eastAsia="仿宋_GB2312" w:cs="Times New Roman"/>
          <w:kern w:val="0"/>
          <w:sz w:val="32"/>
          <w:szCs w:val="32"/>
        </w:rPr>
        <w:t>1.</w:t>
      </w:r>
      <w:r>
        <w:rPr>
          <w:rFonts w:ascii="Times New Roman" w:hAnsi="TimesNewRoman" w:eastAsia="仿宋_GB2312" w:cs="Times New Roman"/>
          <w:kern w:val="0"/>
          <w:sz w:val="32"/>
          <w:szCs w:val="32"/>
        </w:rPr>
        <w:t>绩效工资纳入年初预算；</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val="en-US" w:eastAsia="zh-CN"/>
        </w:rPr>
        <w:t>.</w:t>
      </w:r>
      <w:r>
        <w:rPr>
          <w:rFonts w:ascii="Times New Roman" w:hAnsi="TimesNewRoman" w:eastAsia="仿宋_GB2312" w:cs="Times New Roman"/>
          <w:kern w:val="0"/>
          <w:sz w:val="32"/>
          <w:szCs w:val="32"/>
        </w:rPr>
        <w:t>工资调整及社保、公积金随增部分。</w:t>
      </w:r>
      <w:r>
        <w:rPr>
          <w:rFonts w:hint="eastAsia" w:ascii="TimesNewRoman" w:hAnsi="TimesNewRoman" w:eastAsia="仿宋_GB2312" w:cs="TimesNewRoman"/>
          <w:kern w:val="0"/>
          <w:sz w:val="32"/>
          <w:szCs w:val="32"/>
        </w:rPr>
        <w:t>政府性基金预算拨款收入</w:t>
      </w:r>
      <w:r>
        <w:rPr>
          <w:rFonts w:hint="eastAsia"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 New Roman" w:hAnsi="Times New Roman" w:eastAsia="仿宋_GB2312" w:cs="Times New Roman"/>
          <w:kern w:val="0"/>
          <w:sz w:val="32"/>
          <w:szCs w:val="32"/>
          <w:lang w:val="en-US" w:eastAsia="zh-CN"/>
        </w:rPr>
        <w:t>0</w:t>
      </w:r>
      <w:r>
        <w:rPr>
          <w:rFonts w:hint="eastAsia" w:ascii="Times New Roman" w:hAnsi="Times New Roman" w:eastAsia="仿宋_GB2312" w:cs="Times New Roman"/>
          <w:kern w:val="0"/>
          <w:sz w:val="32"/>
          <w:szCs w:val="32"/>
        </w:rPr>
        <w:t>%</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财政专户管理资金收入</w:t>
      </w:r>
      <w:r>
        <w:rPr>
          <w:rFonts w:hint="eastAsia"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w:t>
      </w:r>
    </w:p>
    <w:p w14:paraId="6D006170">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三、关于</w:t>
      </w:r>
      <w:r>
        <w:rPr>
          <w:rFonts w:ascii="Times New Roman" w:hAnsi="Times New Roman" w:eastAsia="黑体" w:cs="Times New Roman"/>
          <w:bCs/>
          <w:sz w:val="32"/>
          <w:szCs w:val="32"/>
        </w:rPr>
        <w:t>2023</w:t>
      </w:r>
      <w:r>
        <w:rPr>
          <w:rFonts w:ascii="Times New Roman" w:hAnsi="TimesNewRoman" w:eastAsia="黑体" w:cs="Times New Roman"/>
          <w:bCs/>
          <w:sz w:val="32"/>
          <w:szCs w:val="32"/>
        </w:rPr>
        <w:t>年支出总表的说明</w:t>
      </w:r>
    </w:p>
    <w:p w14:paraId="2BA2D7F4">
      <w:pPr>
        <w:ind w:firstLine="640" w:firstLineChars="200"/>
        <w:rPr>
          <w:rFonts w:ascii="Times New Roman" w:hAnsi="Times New Roman" w:eastAsia="仿宋_GB2312" w:cs="Times New Roman"/>
          <w:kern w:val="0"/>
          <w:sz w:val="32"/>
          <w:szCs w:val="32"/>
        </w:rPr>
      </w:pPr>
      <w:r>
        <w:rPr>
          <w:rFonts w:ascii="Times New Roman" w:hAnsi="TimesNewRoman" w:eastAsia="仿宋_GB2312" w:cs="Times New Roman"/>
          <w:kern w:val="0"/>
          <w:sz w:val="32"/>
          <w:szCs w:val="32"/>
        </w:rPr>
        <w:t>中共淮北市委保健委员会办公室</w:t>
      </w:r>
      <w:r>
        <w:rPr>
          <w:rFonts w:ascii="Times New Roman" w:hAnsi="Times New Roman" w:eastAsia="仿宋_GB2312" w:cs="Times New Roman"/>
          <w:kern w:val="0"/>
          <w:sz w:val="32"/>
          <w:szCs w:val="32"/>
        </w:rPr>
        <w:t>2023</w:t>
      </w:r>
      <w:r>
        <w:rPr>
          <w:rFonts w:ascii="Times New Roman" w:hAnsi="TimesNewRoman" w:eastAsia="仿宋_GB2312" w:cs="Times New Roman"/>
          <w:kern w:val="0"/>
          <w:sz w:val="32"/>
          <w:szCs w:val="32"/>
        </w:rPr>
        <w:t>年支出预算</w:t>
      </w:r>
      <w:r>
        <w:rPr>
          <w:rFonts w:ascii="Times New Roman" w:hAnsi="Times New Roman" w:eastAsia="仿宋_GB2312" w:cs="Times New Roman"/>
          <w:kern w:val="0"/>
          <w:sz w:val="32"/>
          <w:szCs w:val="32"/>
        </w:rPr>
        <w:t>82.07</w:t>
      </w:r>
      <w:r>
        <w:rPr>
          <w:rFonts w:ascii="Times New Roman" w:hAnsi="TimesNewRoman" w:eastAsia="仿宋_GB2312" w:cs="Times New Roman"/>
          <w:kern w:val="0"/>
          <w:sz w:val="32"/>
          <w:szCs w:val="32"/>
        </w:rPr>
        <w:t>万元，比</w:t>
      </w:r>
      <w:r>
        <w:rPr>
          <w:rFonts w:ascii="Times New Roman" w:hAnsi="Times New Roman" w:eastAsia="仿宋_GB2312" w:cs="Times New Roman"/>
          <w:kern w:val="0"/>
          <w:sz w:val="32"/>
          <w:szCs w:val="32"/>
        </w:rPr>
        <w:t>2022</w:t>
      </w:r>
      <w:r>
        <w:rPr>
          <w:rFonts w:ascii="Times New Roman" w:hAnsi="TimesNewRoman" w:eastAsia="仿宋_GB2312" w:cs="Times New Roman"/>
          <w:kern w:val="0"/>
          <w:sz w:val="32"/>
          <w:szCs w:val="32"/>
        </w:rPr>
        <w:t>年预算增加</w:t>
      </w:r>
      <w:r>
        <w:rPr>
          <w:rFonts w:ascii="Times New Roman" w:hAnsi="Times New Roman" w:eastAsia="仿宋_GB2312" w:cs="Times New Roman"/>
          <w:kern w:val="0"/>
          <w:sz w:val="32"/>
          <w:szCs w:val="32"/>
        </w:rPr>
        <w:t>20.9</w:t>
      </w:r>
      <w:r>
        <w:rPr>
          <w:rFonts w:ascii="Times New Roman" w:hAnsi="TimesNewRoman" w:eastAsia="仿宋_GB2312" w:cs="Times New Roman"/>
          <w:kern w:val="0"/>
          <w:sz w:val="32"/>
          <w:szCs w:val="32"/>
        </w:rPr>
        <w:t>万元，增长</w:t>
      </w:r>
      <w:r>
        <w:rPr>
          <w:rFonts w:ascii="Times New Roman" w:hAnsi="Times New Roman" w:eastAsia="仿宋_GB2312" w:cs="Times New Roman"/>
          <w:kern w:val="0"/>
          <w:sz w:val="32"/>
          <w:szCs w:val="32"/>
        </w:rPr>
        <w:t>34.17%</w:t>
      </w:r>
      <w:r>
        <w:rPr>
          <w:rFonts w:ascii="Times New Roman" w:hAnsi="TimesNewRoman" w:eastAsia="仿宋_GB2312" w:cs="Times New Roman"/>
          <w:kern w:val="0"/>
          <w:sz w:val="32"/>
          <w:szCs w:val="32"/>
        </w:rPr>
        <w:t>，原因主要是</w:t>
      </w:r>
      <w:r>
        <w:rPr>
          <w:rFonts w:ascii="Times New Roman" w:hAnsi="Times New Roman" w:eastAsia="仿宋_GB2312" w:cs="Times New Roman"/>
          <w:kern w:val="0"/>
          <w:sz w:val="32"/>
          <w:szCs w:val="32"/>
        </w:rPr>
        <w:t>1.</w:t>
      </w:r>
      <w:r>
        <w:rPr>
          <w:rFonts w:ascii="Times New Roman" w:hAnsi="TimesNewRoman" w:eastAsia="仿宋_GB2312" w:cs="Times New Roman"/>
          <w:kern w:val="0"/>
          <w:sz w:val="32"/>
          <w:szCs w:val="32"/>
        </w:rPr>
        <w:t>绩效工资纳入年初预算；</w:t>
      </w:r>
      <w:r>
        <w:rPr>
          <w:rFonts w:ascii="Times New Roman" w:hAnsi="Times New Roman" w:eastAsia="仿宋_GB2312" w:cs="Times New Roman"/>
          <w:kern w:val="0"/>
          <w:sz w:val="32"/>
          <w:szCs w:val="32"/>
        </w:rPr>
        <w:t>2</w:t>
      </w:r>
      <w:r>
        <w:rPr>
          <w:rFonts w:ascii="Times New Roman" w:hAnsi="TimesNewRoman" w:eastAsia="仿宋_GB2312" w:cs="Times New Roman"/>
          <w:kern w:val="0"/>
          <w:sz w:val="32"/>
          <w:szCs w:val="32"/>
        </w:rPr>
        <w:t>工资调整及社保、公积金随增部分。其中，基本支出</w:t>
      </w:r>
      <w:r>
        <w:rPr>
          <w:rFonts w:ascii="Times New Roman" w:hAnsi="Times New Roman" w:eastAsia="仿宋_GB2312" w:cs="Times New Roman"/>
          <w:kern w:val="0"/>
          <w:sz w:val="32"/>
          <w:szCs w:val="32"/>
        </w:rPr>
        <w:t>77.07</w:t>
      </w:r>
      <w:r>
        <w:rPr>
          <w:rFonts w:ascii="Times New Roman" w:hAnsi="TimesNewRoman" w:eastAsia="仿宋_GB2312" w:cs="Times New Roman"/>
          <w:kern w:val="0"/>
          <w:sz w:val="32"/>
          <w:szCs w:val="32"/>
        </w:rPr>
        <w:t>万元，占</w:t>
      </w:r>
      <w:r>
        <w:rPr>
          <w:rFonts w:ascii="Times New Roman" w:hAnsi="Times New Roman" w:eastAsia="仿宋_GB2312" w:cs="Times New Roman"/>
          <w:kern w:val="0"/>
          <w:sz w:val="32"/>
          <w:szCs w:val="32"/>
        </w:rPr>
        <w:t>93.91%</w:t>
      </w:r>
      <w:r>
        <w:rPr>
          <w:rFonts w:ascii="Times New Roman" w:hAnsi="TimesNewRoman" w:eastAsia="仿宋_GB2312" w:cs="Times New Roman"/>
          <w:kern w:val="0"/>
          <w:sz w:val="32"/>
          <w:szCs w:val="32"/>
        </w:rPr>
        <w:t>，主要用于保障机构日常运转、完成日常工作任务；项目支出</w:t>
      </w:r>
      <w:r>
        <w:rPr>
          <w:rFonts w:ascii="Times New Roman" w:hAnsi="Times New Roman" w:eastAsia="仿宋_GB2312" w:cs="Times New Roman"/>
          <w:kern w:val="0"/>
          <w:sz w:val="32"/>
          <w:szCs w:val="32"/>
        </w:rPr>
        <w:t>5</w:t>
      </w:r>
      <w:r>
        <w:rPr>
          <w:rFonts w:ascii="Times New Roman" w:hAnsi="TimesNewRoman" w:eastAsia="仿宋_GB2312" w:cs="Times New Roman"/>
          <w:kern w:val="0"/>
          <w:sz w:val="32"/>
          <w:szCs w:val="32"/>
        </w:rPr>
        <w:t>万元，占</w:t>
      </w:r>
      <w:r>
        <w:rPr>
          <w:rFonts w:ascii="Times New Roman" w:hAnsi="Times New Roman" w:eastAsia="仿宋_GB2312" w:cs="Times New Roman"/>
          <w:kern w:val="0"/>
          <w:sz w:val="32"/>
          <w:szCs w:val="32"/>
        </w:rPr>
        <w:t>6.09%，主要用于体检、宣传、证历。</w:t>
      </w:r>
    </w:p>
    <w:p w14:paraId="76C99850">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四、关于2023年财政拨款收支总表的说明</w:t>
      </w:r>
    </w:p>
    <w:p w14:paraId="31DF6EA1">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共淮北市委保健委员会办公室2023年财政拨款收支预算82.07万元。收入按资金来源分为：一般公共预算拨款82.07万元；按资金年度分为：本年财政拨款收入82.07万元。支出按功能分类分为：社会保障和就业支出6.77万元，占8.25%；卫生健康支出66.64万元，占81.20%；住房保障支出8.66万元，占10.55%。</w:t>
      </w:r>
    </w:p>
    <w:p w14:paraId="37EBE62D">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五、关于2023年一般公共预算支出表的说明</w:t>
      </w:r>
    </w:p>
    <w:p w14:paraId="45CEDDC7">
      <w:pPr>
        <w:pStyle w:val="4"/>
        <w:adjustRightInd w:val="0"/>
        <w:snapToGrid w:val="0"/>
        <w:spacing w:line="560" w:lineRule="exact"/>
        <w:ind w:firstLine="630" w:firstLineChars="196"/>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（一）一般公共预算支出规模变化情况。</w:t>
      </w:r>
    </w:p>
    <w:p w14:paraId="6732ECA6">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中共淮北市委保健委员会办公室2023年一般公共预算支出82.07万元，比2022年预算增加20.9万元，增长34.17%，主要原因：一是绩效工资纳入年初预算；二是工资调整及社保、公积金随增部分。</w:t>
      </w:r>
    </w:p>
    <w:p w14:paraId="2A960D1F">
      <w:pPr>
        <w:pStyle w:val="4"/>
        <w:adjustRightInd w:val="0"/>
        <w:snapToGrid w:val="0"/>
        <w:spacing w:line="560" w:lineRule="exact"/>
        <w:ind w:firstLine="630" w:firstLineChars="196"/>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（二）一般公共预算支出结构情况。</w:t>
      </w:r>
    </w:p>
    <w:p w14:paraId="0DAC9BC5">
      <w:pPr>
        <w:pStyle w:val="4"/>
        <w:adjustRightInd w:val="0"/>
        <w:snapToGrid w:val="0"/>
        <w:spacing w:line="560" w:lineRule="exact"/>
        <w:ind w:firstLine="627" w:firstLineChars="196"/>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一般公共预算拨款82.07万元；按资金年度分为：本年财政拨款收入82.07万元。支出按功能分类分为：社会保障和就业支出6.77万元，占8.25%；卫生健康支出66.64万元，占81.20%；住房保障支出8.66万元，占10.55%。</w:t>
      </w:r>
    </w:p>
    <w:p w14:paraId="2E43D885">
      <w:pPr>
        <w:pStyle w:val="4"/>
        <w:adjustRightInd w:val="0"/>
        <w:snapToGrid w:val="0"/>
        <w:spacing w:line="560" w:lineRule="exact"/>
        <w:ind w:firstLine="630" w:firstLineChars="196"/>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（三）一般公共预算支出具体使用情况。</w:t>
      </w:r>
    </w:p>
    <w:p w14:paraId="4E7B05B0">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1、社会保障和就业支出（类）行政事业单位养老支出（款）机关事业单位基本养老保险缴费支出（项）2023年预算6.71万元，比2022年预算增加2.4万元，增长55.68%，原因主要是养老保险基数调整。</w:t>
      </w:r>
    </w:p>
    <w:p w14:paraId="5F78F93D">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2、社会保障和就业支出（类）其他社会保障和就业支出（款）他社会保障和就业支出（项）2023年预算0.06万元，比2022年预算增加0.06万元，增长100%，原因主要是机关行政单位开始缴纳工伤保险。</w:t>
      </w:r>
    </w:p>
    <w:p w14:paraId="28FA9B1D">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3、卫生健康支出（类）卫生健康管理事务（款）其他卫生健康管理事务（项）2023年预算63.21万元，比2022年预算增加16.6万元，增长35.61%，原因主要是1.绩效工资纳入年初预算；2工资调整及社保、公积金随增部分。</w:t>
      </w:r>
    </w:p>
    <w:p w14:paraId="7E35861D">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b/>
          <w:sz w:val="32"/>
          <w:szCs w:val="32"/>
        </w:rPr>
        <w:t>卫生健康支出（类）行政事业单位医疗（款）行政单位医疗（项）</w:t>
      </w:r>
      <w:r>
        <w:rPr>
          <w:rFonts w:ascii="Times New Roman" w:hAnsi="Times New Roman" w:eastAsia="仿宋_GB2312" w:cs="Times New Roman"/>
          <w:sz w:val="32"/>
          <w:szCs w:val="32"/>
        </w:rPr>
        <w:t>2023年预算2.53万元，比202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年预算增加0.27万元，增长11.95%，增长原因主要是医保基数调整。</w:t>
      </w:r>
    </w:p>
    <w:p w14:paraId="34A90997">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b/>
          <w:sz w:val="32"/>
          <w:szCs w:val="32"/>
        </w:rPr>
        <w:t>卫生健康支出（类）行政事业单位医疗（款）公务员医疗补助（项）</w:t>
      </w:r>
      <w:r>
        <w:rPr>
          <w:rFonts w:ascii="Times New Roman" w:hAnsi="Times New Roman" w:eastAsia="仿宋_GB2312" w:cs="Times New Roman"/>
          <w:sz w:val="32"/>
          <w:szCs w:val="32"/>
        </w:rPr>
        <w:t>2023年预算0.90万元，比202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年预算增加0.09万元，增长11.11%，增长原因主要是公务员医疗补助基数调整。</w:t>
      </w:r>
    </w:p>
    <w:p w14:paraId="70982753">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b/>
          <w:kern w:val="0"/>
          <w:sz w:val="32"/>
          <w:szCs w:val="32"/>
        </w:rPr>
        <w:t>住房保障支出（类）住房改革支出（款）住房公积金（项）</w:t>
      </w:r>
      <w:r>
        <w:rPr>
          <w:rFonts w:ascii="Times New Roman" w:hAnsi="Times New Roman" w:eastAsia="仿宋_GB2312" w:cs="Times New Roman"/>
          <w:kern w:val="0"/>
          <w:sz w:val="32"/>
          <w:szCs w:val="32"/>
        </w:rPr>
        <w:t>2023年预算6.12万元，比2022年预算增加1.05万元，增长20.71%，原因主要是住房公积金基数调整。</w:t>
      </w:r>
    </w:p>
    <w:p w14:paraId="52C70724">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b/>
          <w:kern w:val="0"/>
          <w:sz w:val="32"/>
          <w:szCs w:val="32"/>
        </w:rPr>
        <w:t>住房保障支出（类）住房改革支出（款）购房补贴（项）</w:t>
      </w:r>
      <w:r>
        <w:rPr>
          <w:rFonts w:ascii="Times New Roman" w:hAnsi="Times New Roman" w:eastAsia="仿宋_GB2312" w:cs="Times New Roman"/>
          <w:kern w:val="0"/>
          <w:sz w:val="32"/>
          <w:szCs w:val="32"/>
        </w:rPr>
        <w:t>2023年预算2.55万元，比2022年预算增加0.44万元，增长20.85%，原因主要是住房公积金基数调整。</w:t>
      </w:r>
    </w:p>
    <w:p w14:paraId="5E15B3FA">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六、关于2023年一般公共预算基本支出表的说明</w:t>
      </w:r>
    </w:p>
    <w:p w14:paraId="16A38DB2">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中共淮北市委保健委员会办公室2023年一般公共预算基本支出77.07万元，其中，人员经费67.36万元，公用经费9.71万元。</w:t>
      </w:r>
    </w:p>
    <w:p w14:paraId="2EB705A1">
      <w:pPr>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（一）人员经费67.36万元，</w:t>
      </w:r>
      <w:r>
        <w:rPr>
          <w:rFonts w:ascii="Times New Roman" w:hAnsi="Times New Roman" w:eastAsia="仿宋_GB2312" w:cs="Times New Roman"/>
          <w:kern w:val="0"/>
          <w:sz w:val="32"/>
          <w:szCs w:val="32"/>
        </w:rPr>
        <w:t>主要包括:基本工资、津贴补贴、奖金、机关事业单位基本养老保险费、职业年金缴费、职工基本医疗保险缴费、公务员医疗补助缴费、其他社会保障缴费、工会经费、福利费、住房公积金、购房补贴、办公费、对其他个人和家庭的补助支出。</w:t>
      </w:r>
    </w:p>
    <w:p w14:paraId="2410AF7D">
      <w:pPr>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（二）公用经费9.71万元，</w:t>
      </w:r>
      <w:r>
        <w:rPr>
          <w:rFonts w:ascii="Times New Roman" w:hAnsi="Times New Roman" w:eastAsia="仿宋_GB2312" w:cs="Times New Roman"/>
          <w:kern w:val="0"/>
          <w:sz w:val="32"/>
          <w:szCs w:val="32"/>
        </w:rPr>
        <w:t>主要包括：办公费、邮电费、差旅费、其他交通费用、其他商品服务支出等。</w:t>
      </w:r>
    </w:p>
    <w:p w14:paraId="76CAC300">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七、关于2023年政府性基金预算支出表的说明</w:t>
      </w:r>
    </w:p>
    <w:p w14:paraId="4D11CF6F">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中共淮北市委保健委员会办公室2023年没有政府性基金预算拨款收入，也没有使用政府性基金预算拨款安排的支出。</w:t>
      </w:r>
    </w:p>
    <w:p w14:paraId="50CDF488">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八、关于2023年国有资本经营预算支出表的说明</w:t>
      </w:r>
    </w:p>
    <w:p w14:paraId="266B000A">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中共淮北市委保健委员会办公室2023年没有国有资本经营预算拨款收入，也没有使用国有资本经营预算拨款安排的支出。</w:t>
      </w:r>
    </w:p>
    <w:p w14:paraId="34C32E21">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九、关于2023年项目支出表的说明</w:t>
      </w:r>
    </w:p>
    <w:p w14:paraId="31579AE6">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中共淮北市委保健委员会办公室2023年预算共安排项目支出5万元，比2022年预算持平。主要包括：本年财政拨款安排5万元（其中，一般公共预算拨款安排5万元）。</w:t>
      </w:r>
    </w:p>
    <w:p w14:paraId="1AD5F610">
      <w:pPr>
        <w:pStyle w:val="4"/>
        <w:adjustRightInd w:val="0"/>
        <w:snapToGrid w:val="0"/>
        <w:spacing w:line="560" w:lineRule="exact"/>
        <w:ind w:firstLine="627" w:firstLineChars="196"/>
        <w:rPr>
          <w:rFonts w:ascii="Times New Roman" w:hAnsi="Times New Roman" w:eastAsia="楷体_GB2312" w:cs="Times New Roman"/>
          <w:color w:val="FF0000"/>
          <w:sz w:val="32"/>
          <w:szCs w:val="32"/>
        </w:rPr>
      </w:pPr>
      <w:r>
        <w:rPr>
          <w:rFonts w:ascii="Times New Roman" w:hAnsi="Times New Roman" w:eastAsia="黑体" w:cs="Times New Roman"/>
          <w:bCs/>
          <w:sz w:val="32"/>
          <w:szCs w:val="32"/>
        </w:rPr>
        <w:t>十、关于2023年政府采购支出表的说明</w:t>
      </w:r>
    </w:p>
    <w:p w14:paraId="240AA4C1">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中共淮北市委保健委员会办公室2023年没有使用一般公共预算拨款、政府性基金预算拨款、国有资本经营预算拨款、财政专户管理资金和单位资金安排的政府采购支出。</w:t>
      </w:r>
    </w:p>
    <w:p w14:paraId="0D212055">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十一、关于2023年政府购买服务支出表的说明</w:t>
      </w:r>
    </w:p>
    <w:p w14:paraId="6E12AF34">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中共淮北市委保健委员会办公室2023年没有安排政府购买服务支出。</w:t>
      </w:r>
    </w:p>
    <w:p w14:paraId="330A0B35">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十二、其他重要事项情况说明</w:t>
      </w:r>
    </w:p>
    <w:p w14:paraId="2D794573">
      <w:pPr>
        <w:adjustRightInd w:val="0"/>
        <w:snapToGrid w:val="0"/>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（一）项目及绩效目标情况。</w:t>
      </w:r>
    </w:p>
    <w:p w14:paraId="7F0B802C">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1、“体检、宣传、证历”项目。</w:t>
      </w:r>
    </w:p>
    <w:p w14:paraId="00883F7C">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项目概述：我办依据省市有关离休干部及保健对象的文件规定，对市直、企业离休老干部及保健对象进行管理和服务，需印刷各种证书、病例、专用处方、申请表格、资料宣传费用及为老干部订阅健康杂志等费用。</w:t>
      </w:r>
    </w:p>
    <w:p w14:paraId="05FB023C">
      <w:pPr>
        <w:numPr>
          <w:ilvl w:val="0"/>
          <w:numId w:val="1"/>
        </w:num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立项依据：淮办发【2018】34号文件</w:t>
      </w:r>
    </w:p>
    <w:p w14:paraId="0DF7BBB3">
      <w:pPr>
        <w:numPr>
          <w:ilvl w:val="0"/>
          <w:numId w:val="1"/>
        </w:num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实施主体：市委保健办</w:t>
      </w:r>
    </w:p>
    <w:p w14:paraId="19B14241">
      <w:pPr>
        <w:numPr>
          <w:ilvl w:val="0"/>
          <w:numId w:val="1"/>
        </w:num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起止时间：2023年1月-12月</w:t>
      </w:r>
    </w:p>
    <w:p w14:paraId="48DE51A9">
      <w:pPr>
        <w:numPr>
          <w:ilvl w:val="0"/>
          <w:numId w:val="1"/>
        </w:num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项目内容：我办依据省市有关离休干部及保健对象的文件规定，对市直、企业离休老干部及保健对象进行管理和服务，需印刷各种证书、病例、专用处方、申请表格、资料宣传费用及为老干部订阅健康杂志等费用。</w:t>
      </w:r>
    </w:p>
    <w:p w14:paraId="0029298F">
      <w:pPr>
        <w:numPr>
          <w:ilvl w:val="0"/>
          <w:numId w:val="1"/>
        </w:num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年度预算安排：5万元</w:t>
      </w:r>
    </w:p>
    <w:p w14:paraId="63636B25">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（7）绩效目标：</w:t>
      </w:r>
    </w:p>
    <w:tbl>
      <w:tblPr>
        <w:tblStyle w:val="5"/>
        <w:tblW w:w="9735" w:type="dxa"/>
        <w:tblInd w:w="93" w:type="dxa"/>
        <w:tblLayout w:type="autofit"/>
        <w:tblCellMar>
          <w:top w:w="0" w:type="dxa"/>
          <w:left w:w="108" w:type="dxa"/>
          <w:bottom w:w="0" w:type="dxa"/>
          <w:right w:w="108" w:type="dxa"/>
        </w:tblCellMar>
      </w:tblPr>
      <w:tblGrid>
        <w:gridCol w:w="1080"/>
        <w:gridCol w:w="1590"/>
        <w:gridCol w:w="1080"/>
        <w:gridCol w:w="870"/>
        <w:gridCol w:w="1770"/>
        <w:gridCol w:w="1290"/>
        <w:gridCol w:w="2055"/>
      </w:tblGrid>
      <w:tr w14:paraId="74F3BB50">
        <w:tblPrEx>
          <w:tblCellMar>
            <w:top w:w="0" w:type="dxa"/>
            <w:left w:w="108" w:type="dxa"/>
            <w:bottom w:w="0" w:type="dxa"/>
            <w:right w:w="108" w:type="dxa"/>
          </w:tblCellMar>
        </w:tblPrEx>
        <w:trPr>
          <w:trHeight w:val="675" w:hRule="atLeast"/>
        </w:trPr>
        <w:tc>
          <w:tcPr>
            <w:tcW w:w="9735" w:type="dxa"/>
            <w:gridSpan w:val="7"/>
            <w:tcBorders>
              <w:top w:val="nil"/>
              <w:left w:val="nil"/>
              <w:bottom w:val="nil"/>
              <w:right w:val="nil"/>
            </w:tcBorders>
            <w:shd w:val="clear" w:color="auto" w:fill="auto"/>
            <w:noWrap/>
            <w:vAlign w:val="center"/>
          </w:tcPr>
          <w:p w14:paraId="27EDA95A">
            <w:pPr>
              <w:widowControl/>
              <w:jc w:val="center"/>
              <w:textAlignment w:val="center"/>
              <w:rPr>
                <w:rFonts w:ascii="Times New Roman" w:hAnsi="Times New Roman" w:eastAsia="宋体" w:cs="Times New Roman"/>
                <w:color w:val="000000"/>
                <w:sz w:val="40"/>
                <w:szCs w:val="40"/>
              </w:rPr>
            </w:pPr>
            <w:r>
              <w:rPr>
                <w:rFonts w:ascii="Times New Roman" w:hAnsi="Times New Roman" w:eastAsia="宋体" w:cs="Times New Roman"/>
                <w:color w:val="000000"/>
                <w:kern w:val="0"/>
                <w:sz w:val="40"/>
                <w:szCs w:val="40"/>
              </w:rPr>
              <w:t>项目支出绩效目标表</w:t>
            </w:r>
          </w:p>
        </w:tc>
      </w:tr>
      <w:tr w14:paraId="3A43ED90">
        <w:tblPrEx>
          <w:tblCellMar>
            <w:top w:w="0" w:type="dxa"/>
            <w:left w:w="108" w:type="dxa"/>
            <w:bottom w:w="0" w:type="dxa"/>
            <w:right w:w="108" w:type="dxa"/>
          </w:tblCellMar>
        </w:tblPrEx>
        <w:trPr>
          <w:trHeight w:val="435" w:hRule="atLeast"/>
        </w:trPr>
        <w:tc>
          <w:tcPr>
            <w:tcW w:w="9735" w:type="dxa"/>
            <w:gridSpan w:val="7"/>
            <w:tcBorders>
              <w:top w:val="nil"/>
              <w:left w:val="nil"/>
              <w:bottom w:val="nil"/>
              <w:right w:val="nil"/>
            </w:tcBorders>
            <w:shd w:val="clear" w:color="auto" w:fill="auto"/>
            <w:vAlign w:val="center"/>
          </w:tcPr>
          <w:p w14:paraId="77B089C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 xml:space="preserve"> （2023年度）                                </w:t>
            </w:r>
          </w:p>
        </w:tc>
      </w:tr>
      <w:tr w14:paraId="148942CA">
        <w:tblPrEx>
          <w:tblCellMar>
            <w:top w:w="0" w:type="dxa"/>
            <w:left w:w="108" w:type="dxa"/>
            <w:bottom w:w="0" w:type="dxa"/>
            <w:right w:w="108" w:type="dxa"/>
          </w:tblCellMar>
        </w:tblPrEx>
        <w:trPr>
          <w:trHeight w:val="387" w:hRule="atLeast"/>
        </w:trPr>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A2232">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项目名称</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4AF4EDCE">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体检、宣传、证历</w:t>
            </w:r>
          </w:p>
        </w:tc>
      </w:tr>
      <w:tr w14:paraId="24B50E9F">
        <w:tblPrEx>
          <w:tblCellMar>
            <w:top w:w="0" w:type="dxa"/>
            <w:left w:w="108" w:type="dxa"/>
            <w:bottom w:w="0" w:type="dxa"/>
            <w:right w:w="108" w:type="dxa"/>
          </w:tblCellMar>
        </w:tblPrEx>
        <w:trPr>
          <w:trHeight w:val="387" w:hRule="atLeast"/>
        </w:trPr>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C42A7">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主管部门及代码</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2BB2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淮北市卫生健康委员会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61AD">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实施单位</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1A1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市委保健办</w:t>
            </w:r>
          </w:p>
        </w:tc>
      </w:tr>
      <w:tr w14:paraId="33EF1F33">
        <w:tblPrEx>
          <w:tblCellMar>
            <w:top w:w="0" w:type="dxa"/>
            <w:left w:w="108" w:type="dxa"/>
            <w:bottom w:w="0" w:type="dxa"/>
            <w:right w:w="108" w:type="dxa"/>
          </w:tblCellMar>
        </w:tblPrEx>
        <w:trPr>
          <w:trHeight w:val="387" w:hRule="atLeast"/>
        </w:trPr>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9C21A">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项目来源</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FAB6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财政拨款</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9F9A">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项目期</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8FA5">
            <w:pPr>
              <w:widowControl/>
              <w:jc w:val="center"/>
              <w:textAlignment w:val="center"/>
              <w:rPr>
                <w:rFonts w:ascii="Times New Roman" w:hAnsi="Times New Roman" w:eastAsia="宋体" w:cs="Times New Roman"/>
                <w:color w:val="000000"/>
                <w:szCs w:val="21"/>
              </w:rPr>
            </w:pPr>
            <w:r>
              <w:rPr>
                <w:rStyle w:val="7"/>
                <w:rFonts w:ascii="Times New Roman" w:hAnsi="Times New Roman" w:eastAsia="宋体" w:cs="Times New Roman"/>
              </w:rPr>
              <w:t>2023</w:t>
            </w:r>
            <w:r>
              <w:rPr>
                <w:rStyle w:val="8"/>
                <w:rFonts w:hint="default" w:ascii="Times New Roman" w:hAnsi="Times New Roman" w:cs="Times New Roman"/>
              </w:rPr>
              <w:t>年</w:t>
            </w:r>
            <w:r>
              <w:rPr>
                <w:rStyle w:val="7"/>
                <w:rFonts w:ascii="Times New Roman" w:hAnsi="Times New Roman" w:eastAsia="宋体" w:cs="Times New Roman"/>
              </w:rPr>
              <w:t>1</w:t>
            </w:r>
            <w:r>
              <w:rPr>
                <w:rStyle w:val="8"/>
                <w:rFonts w:hint="default" w:ascii="Times New Roman" w:hAnsi="Times New Roman" w:cs="Times New Roman"/>
              </w:rPr>
              <w:t>月</w:t>
            </w:r>
            <w:r>
              <w:rPr>
                <w:rStyle w:val="7"/>
                <w:rFonts w:ascii="Times New Roman" w:hAnsi="Times New Roman" w:eastAsia="宋体" w:cs="Times New Roman"/>
              </w:rPr>
              <w:t>-12</w:t>
            </w:r>
            <w:r>
              <w:rPr>
                <w:rStyle w:val="8"/>
                <w:rFonts w:hint="default" w:ascii="Times New Roman" w:hAnsi="Times New Roman" w:cs="Times New Roman"/>
              </w:rPr>
              <w:t>月</w:t>
            </w:r>
          </w:p>
        </w:tc>
      </w:tr>
      <w:tr w14:paraId="0DD1ABBD">
        <w:tblPrEx>
          <w:tblCellMar>
            <w:top w:w="0" w:type="dxa"/>
            <w:left w:w="108" w:type="dxa"/>
            <w:bottom w:w="0" w:type="dxa"/>
            <w:right w:w="108" w:type="dxa"/>
          </w:tblCellMar>
        </w:tblPrEx>
        <w:trPr>
          <w:trHeight w:val="387" w:hRule="atLeast"/>
        </w:trPr>
        <w:tc>
          <w:tcPr>
            <w:tcW w:w="37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097B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项目资金（万元）</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C2765">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 xml:space="preserve"> 年度资金总额：</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E334E">
            <w:pPr>
              <w:widowControl/>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5</w:t>
            </w:r>
          </w:p>
        </w:tc>
      </w:tr>
      <w:tr w14:paraId="5C788AA2">
        <w:tblPrEx>
          <w:tblCellMar>
            <w:top w:w="0" w:type="dxa"/>
            <w:left w:w="108" w:type="dxa"/>
            <w:bottom w:w="0" w:type="dxa"/>
            <w:right w:w="108" w:type="dxa"/>
          </w:tblCellMar>
        </w:tblPrEx>
        <w:trPr>
          <w:trHeight w:val="387" w:hRule="atLeast"/>
        </w:trPr>
        <w:tc>
          <w:tcPr>
            <w:tcW w:w="3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C228">
            <w:pPr>
              <w:jc w:val="center"/>
              <w:rPr>
                <w:rFonts w:ascii="Times New Roman" w:hAnsi="Times New Roman" w:eastAsia="宋体" w:cs="Times New Roman"/>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4BFD2">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 xml:space="preserve">   其中：财政拨款</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EA5B">
            <w:pPr>
              <w:widowControl/>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5</w:t>
            </w:r>
          </w:p>
        </w:tc>
      </w:tr>
      <w:tr w14:paraId="77873CD7">
        <w:tblPrEx>
          <w:tblCellMar>
            <w:top w:w="0" w:type="dxa"/>
            <w:left w:w="108" w:type="dxa"/>
            <w:bottom w:w="0" w:type="dxa"/>
            <w:right w:w="108" w:type="dxa"/>
          </w:tblCellMar>
        </w:tblPrEx>
        <w:trPr>
          <w:trHeight w:val="387" w:hRule="atLeast"/>
        </w:trPr>
        <w:tc>
          <w:tcPr>
            <w:tcW w:w="3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04326">
            <w:pPr>
              <w:jc w:val="center"/>
              <w:rPr>
                <w:rFonts w:ascii="Times New Roman" w:hAnsi="Times New Roman" w:eastAsia="宋体" w:cs="Times New Roman"/>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28F44">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 xml:space="preserve">         上年结转</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E5EBD">
            <w:pPr>
              <w:jc w:val="center"/>
              <w:rPr>
                <w:rFonts w:ascii="Times New Roman" w:hAnsi="Times New Roman" w:eastAsia="宋体" w:cs="Times New Roman"/>
                <w:color w:val="000000"/>
                <w:sz w:val="20"/>
                <w:szCs w:val="20"/>
              </w:rPr>
            </w:pPr>
          </w:p>
        </w:tc>
      </w:tr>
      <w:tr w14:paraId="70187B7B">
        <w:tblPrEx>
          <w:tblCellMar>
            <w:top w:w="0" w:type="dxa"/>
            <w:left w:w="108" w:type="dxa"/>
            <w:bottom w:w="0" w:type="dxa"/>
            <w:right w:w="108" w:type="dxa"/>
          </w:tblCellMar>
        </w:tblPrEx>
        <w:trPr>
          <w:trHeight w:val="387" w:hRule="atLeast"/>
        </w:trPr>
        <w:tc>
          <w:tcPr>
            <w:tcW w:w="3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4E49B">
            <w:pPr>
              <w:jc w:val="center"/>
              <w:rPr>
                <w:rFonts w:ascii="Times New Roman" w:hAnsi="Times New Roman" w:eastAsia="宋体" w:cs="Times New Roman"/>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CEDC2">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 xml:space="preserve">         其他资金</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298D4">
            <w:pPr>
              <w:jc w:val="right"/>
              <w:rPr>
                <w:rFonts w:ascii="Times New Roman" w:hAnsi="Times New Roman" w:eastAsia="宋体" w:cs="Times New Roman"/>
                <w:color w:val="000000"/>
                <w:sz w:val="20"/>
                <w:szCs w:val="20"/>
              </w:rPr>
            </w:pPr>
          </w:p>
        </w:tc>
      </w:tr>
      <w:tr w14:paraId="739A6E06">
        <w:tblPrEx>
          <w:tblCellMar>
            <w:top w:w="0" w:type="dxa"/>
            <w:left w:w="108" w:type="dxa"/>
            <w:bottom w:w="0" w:type="dxa"/>
            <w:right w:w="108" w:type="dxa"/>
          </w:tblCellMar>
        </w:tblPrEx>
        <w:trPr>
          <w:trHeight w:val="7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116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年度目标</w:t>
            </w:r>
          </w:p>
        </w:tc>
        <w:tc>
          <w:tcPr>
            <w:tcW w:w="8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918DDB">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为更好地为离休干部及保健对象提供优质的医疗保健服务。</w:t>
            </w:r>
          </w:p>
        </w:tc>
      </w:tr>
      <w:tr w14:paraId="6285CF70">
        <w:tblPrEx>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003BB1D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绩效指标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06B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一级指标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2296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7AC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三级指标</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7C25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指标值</w:t>
            </w:r>
          </w:p>
        </w:tc>
      </w:tr>
      <w:tr w14:paraId="4C9DE090">
        <w:tblPrEx>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10037C62">
            <w:pPr>
              <w:jc w:val="center"/>
              <w:rPr>
                <w:rFonts w:ascii="Times New Roman" w:hAnsi="Times New Roman" w:eastAsia="宋体" w:cs="Times New Roman"/>
                <w:color w:val="000000"/>
                <w:sz w:val="20"/>
                <w:szCs w:val="20"/>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CB1D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产出指标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8140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数量指标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7F43">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我市离休干部及保健对象人数</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2420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520人</w:t>
            </w:r>
          </w:p>
        </w:tc>
      </w:tr>
      <w:tr w14:paraId="0BFFD4E5">
        <w:tblPrEx>
          <w:tblCellMar>
            <w:top w:w="0" w:type="dxa"/>
            <w:left w:w="108" w:type="dxa"/>
            <w:bottom w:w="0" w:type="dxa"/>
            <w:right w:w="108" w:type="dxa"/>
          </w:tblCellMar>
        </w:tblPrEx>
        <w:trPr>
          <w:trHeight w:val="40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59E20708">
            <w:pPr>
              <w:jc w:val="center"/>
              <w:rPr>
                <w:rFonts w:ascii="Times New Roman" w:hAnsi="Times New Roman" w:eastAsia="宋体" w:cs="Times New Roman"/>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1202">
            <w:pPr>
              <w:jc w:val="center"/>
              <w:rPr>
                <w:rFonts w:ascii="Times New Roman" w:hAnsi="Times New Roman" w:eastAsia="宋体" w:cs="Times New Roman"/>
                <w:color w:val="000000"/>
                <w:sz w:val="20"/>
                <w:szCs w:val="20"/>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155A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质量指标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09F7">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经费支出合规性</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593B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严格执行相关法律、规定</w:t>
            </w:r>
          </w:p>
        </w:tc>
      </w:tr>
      <w:tr w14:paraId="6F19CA23">
        <w:tblPrEx>
          <w:tblCellMar>
            <w:top w:w="0" w:type="dxa"/>
            <w:left w:w="108" w:type="dxa"/>
            <w:bottom w:w="0" w:type="dxa"/>
            <w:right w:w="108" w:type="dxa"/>
          </w:tblCellMar>
        </w:tblPrEx>
        <w:trPr>
          <w:trHeight w:val="40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DE350FD">
            <w:pPr>
              <w:jc w:val="center"/>
              <w:rPr>
                <w:rFonts w:ascii="Times New Roman" w:hAnsi="Times New Roman" w:eastAsia="宋体" w:cs="Times New Roman"/>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037EE">
            <w:pPr>
              <w:jc w:val="center"/>
              <w:rPr>
                <w:rFonts w:ascii="Times New Roman" w:hAnsi="Times New Roman" w:eastAsia="宋体" w:cs="Times New Roman"/>
                <w:color w:val="000000"/>
                <w:sz w:val="20"/>
                <w:szCs w:val="20"/>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1CEC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时效指标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1F88">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项目支出时效性</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90D1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按单位预算序时进度支付</w:t>
            </w:r>
          </w:p>
        </w:tc>
      </w:tr>
      <w:tr w14:paraId="7BB74847">
        <w:tblPrEx>
          <w:tblCellMar>
            <w:top w:w="0" w:type="dxa"/>
            <w:left w:w="108" w:type="dxa"/>
            <w:bottom w:w="0" w:type="dxa"/>
            <w:right w:w="108" w:type="dxa"/>
          </w:tblCellMar>
        </w:tblPrEx>
        <w:trPr>
          <w:trHeight w:val="40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CEBA28E">
            <w:pPr>
              <w:jc w:val="center"/>
              <w:rPr>
                <w:rFonts w:ascii="Times New Roman" w:hAnsi="Times New Roman" w:eastAsia="宋体" w:cs="Times New Roman"/>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92520">
            <w:pPr>
              <w:jc w:val="center"/>
              <w:rPr>
                <w:rFonts w:ascii="Times New Roman" w:hAnsi="Times New Roman" w:eastAsia="宋体" w:cs="Times New Roman"/>
                <w:color w:val="000000"/>
                <w:sz w:val="20"/>
                <w:szCs w:val="20"/>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F175">
            <w:pPr>
              <w:jc w:val="center"/>
              <w:rPr>
                <w:rFonts w:ascii="Times New Roman" w:hAnsi="Times New Roman" w:eastAsia="宋体" w:cs="Times New Roman"/>
                <w:color w:val="000000"/>
                <w:sz w:val="20"/>
                <w:szCs w:val="20"/>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CED9">
            <w:pPr>
              <w:widowControl/>
              <w:jc w:val="left"/>
              <w:textAlignment w:val="center"/>
              <w:rPr>
                <w:rFonts w:ascii="Times New Roman" w:hAnsi="Times New Roman" w:eastAsia="汉仪中秀体简" w:cs="Times New Roman"/>
                <w:color w:val="000000"/>
                <w:sz w:val="20"/>
                <w:szCs w:val="20"/>
              </w:rPr>
            </w:pPr>
            <w:r>
              <w:rPr>
                <w:rFonts w:ascii="Times New Roman" w:hAnsi="Times New Roman" w:eastAsia="汉仪中秀体简" w:cs="Times New Roman"/>
                <w:color w:val="000000"/>
                <w:kern w:val="0"/>
                <w:sz w:val="20"/>
                <w:szCs w:val="20"/>
              </w:rPr>
              <w:t>项目完成时间</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B77A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项目计划完成时间</w:t>
            </w:r>
          </w:p>
        </w:tc>
      </w:tr>
      <w:tr w14:paraId="6F482CD5">
        <w:tblPrEx>
          <w:tblCellMar>
            <w:top w:w="0" w:type="dxa"/>
            <w:left w:w="108" w:type="dxa"/>
            <w:bottom w:w="0" w:type="dxa"/>
            <w:right w:w="108" w:type="dxa"/>
          </w:tblCellMar>
        </w:tblPrEx>
        <w:trPr>
          <w:trHeight w:val="40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043D4ED7">
            <w:pPr>
              <w:jc w:val="center"/>
              <w:rPr>
                <w:rFonts w:ascii="Times New Roman" w:hAnsi="Times New Roman" w:eastAsia="宋体" w:cs="Times New Roman"/>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8FC71">
            <w:pPr>
              <w:jc w:val="center"/>
              <w:rPr>
                <w:rFonts w:ascii="Times New Roman" w:hAnsi="Times New Roman" w:eastAsia="宋体" w:cs="Times New Roman"/>
                <w:color w:val="000000"/>
                <w:sz w:val="20"/>
                <w:szCs w:val="20"/>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A8EF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F529">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项目总成本</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7802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5万元</w:t>
            </w:r>
          </w:p>
        </w:tc>
      </w:tr>
      <w:tr w14:paraId="404EC16B">
        <w:tblPrEx>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86DFEC4">
            <w:pPr>
              <w:jc w:val="center"/>
              <w:rPr>
                <w:rFonts w:ascii="Times New Roman" w:hAnsi="Times New Roman" w:eastAsia="宋体" w:cs="Times New Roman"/>
                <w:color w:val="000000"/>
                <w:sz w:val="20"/>
                <w:szCs w:val="20"/>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8A03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6828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经济效益指标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56B0">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对社会经济发展水平影响</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347F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影响较大</w:t>
            </w:r>
          </w:p>
        </w:tc>
      </w:tr>
      <w:tr w14:paraId="41E90D38">
        <w:tblPrEx>
          <w:tblCellMar>
            <w:top w:w="0" w:type="dxa"/>
            <w:left w:w="108" w:type="dxa"/>
            <w:bottom w:w="0" w:type="dxa"/>
            <w:right w:w="108" w:type="dxa"/>
          </w:tblCellMar>
        </w:tblPrEx>
        <w:trPr>
          <w:trHeight w:val="40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17520D0C">
            <w:pPr>
              <w:jc w:val="center"/>
              <w:rPr>
                <w:rFonts w:ascii="Times New Roman" w:hAnsi="Times New Roman" w:eastAsia="宋体" w:cs="Times New Roman"/>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ABEC6">
            <w:pPr>
              <w:jc w:val="center"/>
              <w:rPr>
                <w:rFonts w:ascii="Times New Roman" w:hAnsi="Times New Roman" w:eastAsia="宋体" w:cs="Times New Roman"/>
                <w:color w:val="000000"/>
                <w:sz w:val="20"/>
                <w:szCs w:val="20"/>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DDC0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社会效益指标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3A09">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保健服务能力</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3EF5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显著提升</w:t>
            </w:r>
          </w:p>
        </w:tc>
      </w:tr>
      <w:tr w14:paraId="129EC8C4">
        <w:tblPrEx>
          <w:tblCellMar>
            <w:top w:w="0" w:type="dxa"/>
            <w:left w:w="108" w:type="dxa"/>
            <w:bottom w:w="0" w:type="dxa"/>
            <w:right w:w="108" w:type="dxa"/>
          </w:tblCellMar>
        </w:tblPrEx>
        <w:trPr>
          <w:trHeight w:val="40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C83B843">
            <w:pPr>
              <w:jc w:val="center"/>
              <w:rPr>
                <w:rFonts w:ascii="Times New Roman" w:hAnsi="Times New Roman" w:eastAsia="宋体" w:cs="Times New Roman"/>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80618">
            <w:pPr>
              <w:jc w:val="center"/>
              <w:rPr>
                <w:rFonts w:ascii="Times New Roman" w:hAnsi="Times New Roman" w:eastAsia="宋体" w:cs="Times New Roman"/>
                <w:color w:val="000000"/>
                <w:sz w:val="20"/>
                <w:szCs w:val="20"/>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773A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生态效益指标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9A6C">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对生态环境影响</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D7E8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影响较大</w:t>
            </w:r>
          </w:p>
        </w:tc>
      </w:tr>
      <w:tr w14:paraId="13370FCF">
        <w:tblPrEx>
          <w:tblCellMar>
            <w:top w:w="0" w:type="dxa"/>
            <w:left w:w="108" w:type="dxa"/>
            <w:bottom w:w="0" w:type="dxa"/>
            <w:right w:w="108" w:type="dxa"/>
          </w:tblCellMar>
        </w:tblPrEx>
        <w:trPr>
          <w:trHeight w:val="76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558C47D">
            <w:pPr>
              <w:jc w:val="center"/>
              <w:rPr>
                <w:rFonts w:ascii="Times New Roman" w:hAnsi="Times New Roman" w:eastAsia="宋体" w:cs="Times New Roman"/>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68DF9">
            <w:pPr>
              <w:jc w:val="center"/>
              <w:rPr>
                <w:rFonts w:ascii="Times New Roman" w:hAnsi="Times New Roman" w:eastAsia="宋体" w:cs="Times New Roman"/>
                <w:color w:val="000000"/>
                <w:sz w:val="20"/>
                <w:szCs w:val="20"/>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FEF2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可持续影响指标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5C88">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对离休干部及保健对象的可续影响程度</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6EF7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持续性较高</w:t>
            </w:r>
          </w:p>
        </w:tc>
      </w:tr>
      <w:tr w14:paraId="5FC1F5DC">
        <w:tblPrEx>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19EAD8F2">
            <w:pPr>
              <w:jc w:val="center"/>
              <w:rPr>
                <w:rFonts w:ascii="Times New Roman" w:hAnsi="Times New Roman" w:eastAsia="宋体" w:cs="Times New Roman"/>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810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29F8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5BEB">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离休干部及保健对性满意度</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A23D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100%</w:t>
            </w:r>
          </w:p>
        </w:tc>
      </w:tr>
    </w:tbl>
    <w:p w14:paraId="10690C32">
      <w:pPr>
        <w:ind w:firstLine="420" w:firstLineChars="200"/>
        <w:rPr>
          <w:rFonts w:ascii="Times New Roman" w:hAnsi="Times New Roman" w:cs="Times New Roman"/>
        </w:rPr>
      </w:pPr>
    </w:p>
    <w:p w14:paraId="6255E59F">
      <w:pPr>
        <w:ind w:firstLine="420" w:firstLineChars="200"/>
        <w:rPr>
          <w:rFonts w:ascii="Times New Roman" w:hAnsi="Times New Roman" w:cs="Times New Roman"/>
        </w:rPr>
      </w:pPr>
    </w:p>
    <w:p w14:paraId="7D7B582D">
      <w:pPr>
        <w:adjustRightInd w:val="0"/>
        <w:snapToGrid w:val="0"/>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（二）机关运行经费。</w:t>
      </w:r>
    </w:p>
    <w:p w14:paraId="746F4B6C">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中共淮北市委保健委员会办公室2023年机关运行经费财政拨款预算11.4万元，比2022年预算持平。</w:t>
      </w:r>
    </w:p>
    <w:p w14:paraId="0FB23DA0">
      <w:pPr>
        <w:adjustRightInd w:val="0"/>
        <w:snapToGrid w:val="0"/>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（三）政府采购情况。</w:t>
      </w:r>
    </w:p>
    <w:p w14:paraId="5F661B12">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中共淮北市委保健委员会办公室2023年政府采购预算0万元。其中：政府采购货物预算0万元，政府采购工程预算0万元，政府采购服务预算0万元。</w:t>
      </w:r>
    </w:p>
    <w:p w14:paraId="25AAC76B">
      <w:pPr>
        <w:adjustRightInd w:val="0"/>
        <w:snapToGrid w:val="0"/>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（四）国有资产占有使用情况。</w:t>
      </w:r>
    </w:p>
    <w:p w14:paraId="008FA2C4">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截至2022年12月31日，中共淮北市委保健委员会办公室共有车辆0辆。单价50万元以上的通用设备0台（套），单价100万元以上的专用设备0台（套）。</w:t>
      </w:r>
    </w:p>
    <w:p w14:paraId="79FD1189">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2023年单位预算安排购置公务用车0辆，购置费0万元；安排购置单价50万元以上的通用设备0台（套），购置费0万元；安排购置单价100万元以上专用设备0台（套），购置费0万元。</w:t>
      </w:r>
    </w:p>
    <w:p w14:paraId="1ABD5F86">
      <w:pPr>
        <w:adjustRightInd w:val="0"/>
        <w:snapToGrid w:val="0"/>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（五）绩效目标设置情况。</w:t>
      </w:r>
    </w:p>
    <w:p w14:paraId="0F90C1C0">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2023年，中共淮北市委保健委员会办公室1个项目实行了绩效目标管理，涉及一般公共预算当年财政拨款5万元。</w:t>
      </w:r>
    </w:p>
    <w:p w14:paraId="392C211C">
      <w:pPr>
        <w:rPr>
          <w:rFonts w:ascii="Times New Roman" w:hAnsi="Times New Roman" w:cs="Times New Roman"/>
        </w:rPr>
      </w:pPr>
    </w:p>
    <w:p w14:paraId="2DCE860F">
      <w:pPr>
        <w:pStyle w:val="4"/>
        <w:adjustRightInd w:val="0"/>
        <w:snapToGrid w:val="0"/>
        <w:spacing w:line="560" w:lineRule="exact"/>
        <w:jc w:val="center"/>
        <w:rPr>
          <w:rFonts w:ascii="Times New Roman" w:hAnsi="Times New Roman" w:eastAsia="黑体" w:cs="Times New Roman"/>
          <w:bCs/>
          <w:sz w:val="36"/>
          <w:szCs w:val="36"/>
        </w:rPr>
      </w:pPr>
    </w:p>
    <w:p w14:paraId="72CC6280">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 New Roman" w:eastAsia="黑体" w:cs="Times New Roman"/>
          <w:bCs/>
          <w:sz w:val="36"/>
          <w:szCs w:val="36"/>
        </w:rPr>
        <w:t>第四部分 名词解释</w:t>
      </w:r>
    </w:p>
    <w:p w14:paraId="35A70D91">
      <w:pPr>
        <w:rPr>
          <w:rFonts w:ascii="Times New Roman" w:hAnsi="Times New Roman" w:cs="Times New Roman"/>
        </w:rPr>
      </w:pPr>
    </w:p>
    <w:p w14:paraId="6CE1DD43">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一、财政拨款收入：</w:t>
      </w:r>
      <w:r>
        <w:rPr>
          <w:rFonts w:ascii="Times New Roman" w:hAnsi="Times New Roman" w:eastAsia="仿宋_GB2312" w:cs="Times New Roman"/>
          <w:sz w:val="32"/>
          <w:szCs w:val="32"/>
        </w:rPr>
        <w:t>指部门或单位从同级财政部门取得的财政预算资金。</w:t>
      </w:r>
    </w:p>
    <w:p w14:paraId="5AF2DBEA">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二、事业收入：</w:t>
      </w:r>
      <w:r>
        <w:rPr>
          <w:rFonts w:ascii="Times New Roman" w:hAnsi="Times New Roman" w:eastAsia="仿宋_GB2312" w:cs="Times New Roman"/>
          <w:sz w:val="32"/>
          <w:szCs w:val="32"/>
        </w:rPr>
        <w:t>指事业单位开展专业业务活动及辅助活动所取得的收入。</w:t>
      </w:r>
    </w:p>
    <w:p w14:paraId="1FABB1C4">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三、财政专户管理资金：</w:t>
      </w:r>
      <w:r>
        <w:rPr>
          <w:rFonts w:ascii="Times New Roman" w:hAnsi="Times New Roman" w:eastAsia="仿宋_GB2312" w:cs="Times New Roman"/>
          <w:sz w:val="32"/>
          <w:szCs w:val="32"/>
        </w:rPr>
        <w:t>指按照非税收入管理相关规定，纳入财政专户管理的教育收费等。</w:t>
      </w:r>
    </w:p>
    <w:p w14:paraId="32AC3860">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四、事业单位经营收入：</w:t>
      </w:r>
      <w:r>
        <w:rPr>
          <w:rFonts w:ascii="Times New Roman" w:hAnsi="Times New Roman" w:eastAsia="仿宋_GB2312" w:cs="Times New Roman"/>
          <w:sz w:val="32"/>
          <w:szCs w:val="32"/>
        </w:rPr>
        <w:t>指事业单位在专业业务活动及其辅助活动之外开展非独立核算经营活动取得的收入。</w:t>
      </w:r>
    </w:p>
    <w:p w14:paraId="67D86B27">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五、附属单位上缴收入：</w:t>
      </w:r>
      <w:r>
        <w:rPr>
          <w:rFonts w:ascii="Times New Roman" w:hAnsi="Times New Roman" w:eastAsia="仿宋_GB2312" w:cs="Times New Roman"/>
          <w:sz w:val="32"/>
          <w:szCs w:val="32"/>
        </w:rPr>
        <w:t>本单位所属下级单位上缴给本单位的全部收入。</w:t>
      </w:r>
    </w:p>
    <w:p w14:paraId="1F5CCE10">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六、上年结转：</w:t>
      </w:r>
      <w:r>
        <w:rPr>
          <w:rFonts w:ascii="Times New Roman" w:hAnsi="Times New Roman" w:eastAsia="仿宋_GB2312" w:cs="Times New Roman"/>
          <w:sz w:val="32"/>
          <w:szCs w:val="32"/>
        </w:rPr>
        <w:t>指以前年度安排、结转到本年仍按原用途继续使用的资金。</w:t>
      </w:r>
    </w:p>
    <w:p w14:paraId="10A9041B">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七、结转下年：</w:t>
      </w:r>
      <w:r>
        <w:rPr>
          <w:rFonts w:ascii="Times New Roman" w:hAnsi="Times New Roman" w:eastAsia="仿宋_GB2312" w:cs="Times New Roman"/>
          <w:sz w:val="32"/>
          <w:szCs w:val="32"/>
        </w:rPr>
        <w:t>指以前年度预算安排、因客观条件发生变化无法按原计划实施，需以后年度按原用途继续使用的资金。</w:t>
      </w:r>
    </w:p>
    <w:p w14:paraId="36B84BDC">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八、基本支出：</w:t>
      </w:r>
      <w:r>
        <w:rPr>
          <w:rFonts w:ascii="Times New Roman" w:hAnsi="Times New Roman" w:eastAsia="仿宋_GB2312" w:cs="Times New Roman"/>
          <w:sz w:val="32"/>
          <w:szCs w:val="32"/>
        </w:rPr>
        <w:t>指为保障机构正常运转、完成日常工作任务而发生的人员支出和公用支出。</w:t>
      </w:r>
    </w:p>
    <w:p w14:paraId="20C87618">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九、项目支出：</w:t>
      </w:r>
      <w:r>
        <w:rPr>
          <w:rFonts w:ascii="Times New Roman" w:hAnsi="Times New Roman" w:eastAsia="仿宋_GB2312" w:cs="Times New Roman"/>
          <w:sz w:val="32"/>
          <w:szCs w:val="32"/>
        </w:rPr>
        <w:t>指在除基本支出之外的支出，主要用于完成特定的工作任务和事业发展目标。</w:t>
      </w:r>
    </w:p>
    <w:p w14:paraId="7E0BD377">
      <w:pPr>
        <w:pStyle w:val="4"/>
        <w:adjustRightInd w:val="0"/>
        <w:snapToGrid w:val="0"/>
        <w:spacing w:line="560" w:lineRule="exact"/>
        <w:ind w:firstLine="630" w:firstLineChars="196"/>
        <w:rPr>
          <w:rFonts w:ascii="Times New Roman" w:hAnsi="Times New Roman" w:cs="Times New Roman"/>
        </w:rPr>
      </w:pPr>
      <w:r>
        <w:rPr>
          <w:rFonts w:ascii="Times New Roman" w:hAnsi="Times New Roman" w:eastAsia="仿宋_GB2312" w:cs="Times New Roman"/>
          <w:b/>
          <w:sz w:val="32"/>
          <w:szCs w:val="32"/>
        </w:rPr>
        <w:t xml:space="preserve">十、机关运行经费: </w:t>
      </w:r>
      <w:r>
        <w:rPr>
          <w:rFonts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Arial Unicode MS"/>
    <w:panose1 w:val="00000000000000000000"/>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汉仪中秀体简">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64448"/>
    <w:multiLevelType w:val="singleLevel"/>
    <w:tmpl w:val="6556444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jYzA0NzdjODdiMjEwZjgyZGY3ZTQxOWZmYzhiNDYifQ=="/>
  </w:docVars>
  <w:rsids>
    <w:rsidRoot w:val="00E907C4"/>
    <w:rsid w:val="001C06A9"/>
    <w:rsid w:val="002F1491"/>
    <w:rsid w:val="0057562B"/>
    <w:rsid w:val="006546AF"/>
    <w:rsid w:val="007029CF"/>
    <w:rsid w:val="008F6D1A"/>
    <w:rsid w:val="009A3CA3"/>
    <w:rsid w:val="00AE3242"/>
    <w:rsid w:val="00BB0CDA"/>
    <w:rsid w:val="00CD0A53"/>
    <w:rsid w:val="00CE106A"/>
    <w:rsid w:val="00E238C0"/>
    <w:rsid w:val="00E45FCD"/>
    <w:rsid w:val="00E907C4"/>
    <w:rsid w:val="00EC7755"/>
    <w:rsid w:val="00F20733"/>
    <w:rsid w:val="01BF37C7"/>
    <w:rsid w:val="0684153C"/>
    <w:rsid w:val="0B0947CE"/>
    <w:rsid w:val="0C025DE7"/>
    <w:rsid w:val="105608F6"/>
    <w:rsid w:val="1ECC0E79"/>
    <w:rsid w:val="2B0A588B"/>
    <w:rsid w:val="3C9712DB"/>
    <w:rsid w:val="3CCF0A75"/>
    <w:rsid w:val="716206F2"/>
    <w:rsid w:val="796413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font71"/>
    <w:qFormat/>
    <w:uiPriority w:val="0"/>
    <w:rPr>
      <w:rFonts w:hint="default" w:ascii="Calibri" w:hAnsi="Calibri" w:cs="Calibri"/>
      <w:color w:val="000000"/>
      <w:sz w:val="21"/>
      <w:szCs w:val="21"/>
      <w:u w:val="none"/>
    </w:rPr>
  </w:style>
  <w:style w:type="character" w:customStyle="1" w:styleId="8">
    <w:name w:val="font31"/>
    <w:qFormat/>
    <w:uiPriority w:val="0"/>
    <w:rPr>
      <w:rFonts w:hint="eastAsia" w:ascii="宋体" w:hAnsi="宋体" w:eastAsia="宋体" w:cs="宋体"/>
      <w:color w:val="000000"/>
      <w:sz w:val="21"/>
      <w:szCs w:val="21"/>
      <w:u w:val="none"/>
    </w:rPr>
  </w:style>
  <w:style w:type="character" w:customStyle="1" w:styleId="9">
    <w:name w:val="页眉 Char"/>
    <w:basedOn w:val="6"/>
    <w:link w:val="3"/>
    <w:qFormat/>
    <w:uiPriority w:val="99"/>
    <w:rPr>
      <w:kern w:val="2"/>
      <w:sz w:val="18"/>
      <w:szCs w:val="18"/>
    </w:rPr>
  </w:style>
  <w:style w:type="character" w:customStyle="1" w:styleId="10">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4314</Words>
  <Characters>4842</Characters>
  <Lines>36</Lines>
  <Paragraphs>10</Paragraphs>
  <TotalTime>1</TotalTime>
  <ScaleCrop>false</ScaleCrop>
  <LinksUpToDate>false</LinksUpToDate>
  <CharactersWithSpaces>4910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核算中心-朱兆琪</cp:lastModifiedBy>
  <dcterms:modified xsi:type="dcterms:W3CDTF">2024-10-09T01:19:31Z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398C5891BEFF48A8A67BAF8EC43ADCEA</vt:lpwstr>
  </property>
</Properties>
</file>