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34656">
      <w:pPr>
        <w:spacing w:line="560" w:lineRule="exact"/>
        <w:rPr>
          <w:rFonts w:ascii="Times New Roman" w:hAnsi="Times New Roman" w:eastAsia="黑体" w:cs="Times New Roman"/>
          <w:szCs w:val="32"/>
        </w:rPr>
      </w:pPr>
      <w:r>
        <w:rPr>
          <w:rFonts w:ascii="Times New Roman" w:hAnsi="TimesNewRoman" w:eastAsia="黑体" w:cs="Times New Roman"/>
          <w:szCs w:val="32"/>
        </w:rPr>
        <w:t>附件</w:t>
      </w:r>
      <w:r>
        <w:rPr>
          <w:rFonts w:ascii="Times New Roman" w:hAnsi="Times New Roman" w:eastAsia="黑体" w:cs="Times New Roman"/>
          <w:szCs w:val="32"/>
        </w:rPr>
        <w:t>1-1</w:t>
      </w:r>
    </w:p>
    <w:p w14:paraId="1197BCBC">
      <w:pPr>
        <w:rPr>
          <w:rFonts w:ascii="Times New Roman" w:hAnsi="Times New Roman" w:cs="Times New Roman"/>
        </w:rPr>
      </w:pPr>
    </w:p>
    <w:p w14:paraId="4C2732A4">
      <w:pPr>
        <w:rPr>
          <w:rFonts w:ascii="Times New Roman" w:hAnsi="Times New Roman" w:cs="Times New Roman"/>
        </w:rPr>
      </w:pPr>
    </w:p>
    <w:p w14:paraId="128713E0">
      <w:pPr>
        <w:rPr>
          <w:rFonts w:ascii="Times New Roman" w:hAnsi="Times New Roman" w:cs="Times New Roman"/>
        </w:rPr>
      </w:pPr>
    </w:p>
    <w:p w14:paraId="6D5F36DB">
      <w:pPr>
        <w:rPr>
          <w:rFonts w:ascii="Times New Roman" w:hAnsi="Times New Roman" w:cs="Times New Roman"/>
        </w:rPr>
      </w:pPr>
    </w:p>
    <w:p w14:paraId="4D867CC7">
      <w:pPr>
        <w:rPr>
          <w:rFonts w:ascii="Times New Roman" w:hAnsi="Times New Roman" w:cs="Times New Roman"/>
        </w:rPr>
      </w:pPr>
    </w:p>
    <w:p w14:paraId="037DD3AE">
      <w:pPr>
        <w:rPr>
          <w:rFonts w:ascii="Times New Roman" w:hAnsi="Times New Roman" w:cs="Times New Roman"/>
        </w:rPr>
      </w:pPr>
    </w:p>
    <w:p w14:paraId="18B9371B">
      <w:pPr>
        <w:rPr>
          <w:rFonts w:ascii="Times New Roman" w:hAnsi="Times New Roman" w:cs="Times New Roman"/>
        </w:rPr>
      </w:pPr>
    </w:p>
    <w:p w14:paraId="395D9CB7">
      <w:pPr>
        <w:rPr>
          <w:rFonts w:ascii="Times New Roman" w:hAnsi="Times New Roman" w:cs="Times New Roman"/>
        </w:rPr>
      </w:pPr>
    </w:p>
    <w:p w14:paraId="2B6C3EC1">
      <w:pPr>
        <w:spacing w:line="560" w:lineRule="exact"/>
        <w:jc w:val="center"/>
        <w:rPr>
          <w:rFonts w:ascii="Times New Roman" w:hAnsi="Times New Roman" w:eastAsia="华文中宋" w:cs="Times New Roman"/>
          <w:b/>
          <w:sz w:val="44"/>
          <w:szCs w:val="44"/>
        </w:rPr>
      </w:pPr>
      <w:r>
        <w:rPr>
          <w:rFonts w:ascii="Times New Roman" w:hAnsi="TimesNewRoman" w:eastAsia="华文中宋" w:cs="Times New Roman"/>
          <w:b/>
          <w:sz w:val="44"/>
          <w:szCs w:val="44"/>
        </w:rPr>
        <w:t>淮北市中医医院</w:t>
      </w:r>
    </w:p>
    <w:p w14:paraId="26631CD1">
      <w:pPr>
        <w:spacing w:line="560" w:lineRule="exact"/>
        <w:jc w:val="center"/>
        <w:rPr>
          <w:rFonts w:ascii="Times New Roman" w:hAnsi="Times New Roman" w:eastAsia="华文中宋" w:cs="Times New Roman"/>
          <w:b/>
          <w:sz w:val="44"/>
          <w:szCs w:val="44"/>
        </w:rPr>
      </w:pPr>
      <w:r>
        <w:rPr>
          <w:rFonts w:ascii="Times New Roman" w:hAnsi="Times New Roman" w:eastAsia="华文中宋" w:cs="Times New Roman"/>
          <w:b/>
          <w:sz w:val="44"/>
          <w:szCs w:val="44"/>
        </w:rPr>
        <w:t>2023</w:t>
      </w:r>
      <w:r>
        <w:rPr>
          <w:rFonts w:ascii="Times New Roman" w:hAnsi="TimesNewRoman" w:eastAsia="华文中宋" w:cs="Times New Roman"/>
          <w:b/>
          <w:sz w:val="44"/>
          <w:szCs w:val="44"/>
        </w:rPr>
        <w:t>年部门预算</w:t>
      </w:r>
    </w:p>
    <w:p w14:paraId="528F4A42">
      <w:pPr>
        <w:rPr>
          <w:rFonts w:ascii="Times New Roman" w:hAnsi="Times New Roman" w:cs="Times New Roman"/>
        </w:rPr>
      </w:pPr>
    </w:p>
    <w:p w14:paraId="672D3F90">
      <w:pPr>
        <w:rPr>
          <w:rFonts w:ascii="Times New Roman" w:hAnsi="Times New Roman" w:cs="Times New Roman"/>
        </w:rPr>
      </w:pPr>
    </w:p>
    <w:p w14:paraId="350278B0">
      <w:pPr>
        <w:rPr>
          <w:rFonts w:ascii="Times New Roman" w:hAnsi="Times New Roman" w:cs="Times New Roman"/>
        </w:rPr>
      </w:pPr>
    </w:p>
    <w:p w14:paraId="1ED82E2C">
      <w:pPr>
        <w:rPr>
          <w:rFonts w:ascii="Times New Roman" w:hAnsi="Times New Roman" w:cs="Times New Roman"/>
        </w:rPr>
      </w:pPr>
    </w:p>
    <w:p w14:paraId="666B4F20">
      <w:pPr>
        <w:rPr>
          <w:rFonts w:ascii="Times New Roman" w:hAnsi="Times New Roman" w:cs="Times New Roman"/>
        </w:rPr>
      </w:pPr>
    </w:p>
    <w:p w14:paraId="667A3B68">
      <w:pPr>
        <w:rPr>
          <w:rFonts w:ascii="Times New Roman" w:hAnsi="Times New Roman" w:cs="Times New Roman"/>
        </w:rPr>
      </w:pPr>
    </w:p>
    <w:p w14:paraId="0324E344">
      <w:pPr>
        <w:rPr>
          <w:rFonts w:ascii="Times New Roman" w:hAnsi="Times New Roman" w:cs="Times New Roman"/>
        </w:rPr>
      </w:pPr>
    </w:p>
    <w:p w14:paraId="4BA7159E">
      <w:pPr>
        <w:rPr>
          <w:rFonts w:ascii="Times New Roman" w:hAnsi="Times New Roman" w:cs="Times New Roman"/>
        </w:rPr>
      </w:pPr>
    </w:p>
    <w:p w14:paraId="7160ECCD">
      <w:pPr>
        <w:rPr>
          <w:rFonts w:ascii="Times New Roman" w:hAnsi="Times New Roman" w:cs="Times New Roman"/>
        </w:rPr>
      </w:pPr>
    </w:p>
    <w:p w14:paraId="5356B4FB">
      <w:pPr>
        <w:rPr>
          <w:rFonts w:ascii="Times New Roman" w:hAnsi="Times New Roman" w:cs="Times New Roman"/>
        </w:rPr>
      </w:pPr>
    </w:p>
    <w:p w14:paraId="359F855F">
      <w:pPr>
        <w:rPr>
          <w:rFonts w:ascii="Times New Roman" w:hAnsi="Times New Roman" w:cs="Times New Roman"/>
        </w:rPr>
      </w:pPr>
    </w:p>
    <w:p w14:paraId="3FE8D625">
      <w:pPr>
        <w:rPr>
          <w:rFonts w:ascii="Times New Roman" w:hAnsi="Times New Roman" w:cs="Times New Roman"/>
        </w:rPr>
      </w:pPr>
    </w:p>
    <w:p w14:paraId="6EA9A7CB">
      <w:pPr>
        <w:rPr>
          <w:rFonts w:ascii="Times New Roman" w:hAnsi="Times New Roman" w:cs="Times New Roman"/>
        </w:rPr>
      </w:pPr>
    </w:p>
    <w:p w14:paraId="0C6F0A10">
      <w:pPr>
        <w:rPr>
          <w:rFonts w:ascii="Times New Roman" w:hAnsi="Times New Roman" w:cs="Times New Roman"/>
        </w:rPr>
      </w:pPr>
    </w:p>
    <w:p w14:paraId="06BB0AA0">
      <w:pPr>
        <w:rPr>
          <w:rFonts w:ascii="Times New Roman" w:hAnsi="Times New Roman" w:cs="Times New Roman"/>
        </w:rPr>
      </w:pPr>
    </w:p>
    <w:p w14:paraId="679F176C">
      <w:pPr>
        <w:rPr>
          <w:rFonts w:ascii="Times New Roman" w:hAnsi="Times New Roman" w:cs="Times New Roman"/>
        </w:rPr>
      </w:pPr>
    </w:p>
    <w:p w14:paraId="60B56DA3">
      <w:pPr>
        <w:rPr>
          <w:rFonts w:ascii="Times New Roman" w:hAnsi="Times New Roman" w:cs="Times New Roman"/>
        </w:rPr>
      </w:pPr>
    </w:p>
    <w:p w14:paraId="1494410F">
      <w:pPr>
        <w:rPr>
          <w:rFonts w:ascii="Times New Roman" w:hAnsi="Times New Roman" w:cs="Times New Roman"/>
        </w:rPr>
      </w:pPr>
    </w:p>
    <w:p w14:paraId="6C0634E4">
      <w:pPr>
        <w:rPr>
          <w:rFonts w:ascii="Times New Roman" w:hAnsi="Times New Roman" w:cs="Times New Roman"/>
        </w:rPr>
      </w:pPr>
    </w:p>
    <w:p w14:paraId="2E0735D2">
      <w:pPr>
        <w:rPr>
          <w:rFonts w:ascii="Times New Roman" w:hAnsi="Times New Roman" w:cs="Times New Roman"/>
        </w:rPr>
      </w:pPr>
    </w:p>
    <w:p w14:paraId="03FA6709">
      <w:pPr>
        <w:rPr>
          <w:rFonts w:ascii="Times New Roman" w:hAnsi="Times New Roman" w:cs="Times New Roman"/>
        </w:rPr>
      </w:pPr>
    </w:p>
    <w:p w14:paraId="6A5D97BA">
      <w:pPr>
        <w:rPr>
          <w:rFonts w:ascii="Times New Roman" w:hAnsi="Times New Roman" w:cs="Times New Roman"/>
        </w:rPr>
      </w:pPr>
    </w:p>
    <w:p w14:paraId="68F4D29D">
      <w:pPr>
        <w:rPr>
          <w:rFonts w:ascii="Times New Roman" w:hAnsi="Times New Roman" w:cs="Times New Roman"/>
        </w:rPr>
      </w:pPr>
    </w:p>
    <w:p w14:paraId="1A6A7FE8">
      <w:pPr>
        <w:pStyle w:val="4"/>
        <w:adjustRightInd w:val="0"/>
        <w:snapToGrid w:val="0"/>
        <w:spacing w:line="560" w:lineRule="exact"/>
        <w:jc w:val="center"/>
        <w:rPr>
          <w:rFonts w:ascii="Times New Roman" w:hAnsi="Times New Roman" w:eastAsia="黑体" w:cs="Times New Roman"/>
          <w:bCs/>
          <w:sz w:val="44"/>
          <w:szCs w:val="44"/>
        </w:rPr>
      </w:pPr>
    </w:p>
    <w:p w14:paraId="5C4B8E81">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 New Roman" w:eastAsia="黑体" w:cs="Times New Roman"/>
          <w:bCs/>
          <w:sz w:val="44"/>
          <w:szCs w:val="44"/>
        </w:rPr>
        <w:t>2023</w:t>
      </w:r>
      <w:r>
        <w:rPr>
          <w:rFonts w:ascii="Times New Roman" w:hAnsi="TimesNewRoman" w:eastAsia="黑体" w:cs="Times New Roman"/>
          <w:bCs/>
          <w:sz w:val="44"/>
          <w:szCs w:val="44"/>
        </w:rPr>
        <w:t>年</w:t>
      </w:r>
      <w:r>
        <w:rPr>
          <w:rFonts w:ascii="Times New Roman" w:hAnsi="Times New Roman" w:eastAsia="黑体" w:cs="Times New Roman"/>
          <w:bCs/>
          <w:sz w:val="44"/>
          <w:szCs w:val="44"/>
        </w:rPr>
        <w:t>2</w:t>
      </w:r>
      <w:r>
        <w:rPr>
          <w:rFonts w:ascii="Times New Roman" w:hAnsi="TimesNewRoman" w:eastAsia="黑体" w:cs="Times New Roman"/>
          <w:bCs/>
          <w:sz w:val="44"/>
          <w:szCs w:val="44"/>
        </w:rPr>
        <w:t>月</w:t>
      </w:r>
    </w:p>
    <w:p w14:paraId="16C8D472">
      <w:pPr>
        <w:rPr>
          <w:rFonts w:ascii="Times New Roman" w:hAnsi="Times New Roman" w:cs="Times New Roman"/>
        </w:rPr>
      </w:pPr>
    </w:p>
    <w:p w14:paraId="0BEB15F2">
      <w:pPr>
        <w:rPr>
          <w:rFonts w:ascii="Times New Roman" w:hAnsi="Times New Roman" w:cs="Times New Roman"/>
        </w:rPr>
      </w:pPr>
    </w:p>
    <w:p w14:paraId="557B7AB5">
      <w:pPr>
        <w:pStyle w:val="4"/>
        <w:adjustRightInd w:val="0"/>
        <w:snapToGrid w:val="0"/>
        <w:spacing w:line="560" w:lineRule="exact"/>
        <w:jc w:val="center"/>
        <w:rPr>
          <w:rFonts w:ascii="Times New Roman" w:hAnsi="Times New Roman" w:eastAsia="黑体" w:cs="Times New Roman"/>
          <w:bCs/>
          <w:sz w:val="44"/>
          <w:szCs w:val="44"/>
        </w:rPr>
      </w:pPr>
      <w:r>
        <w:rPr>
          <w:rFonts w:ascii="Times New Roman" w:hAnsi="TimesNewRoman" w:eastAsia="黑体" w:cs="Times New Roman"/>
          <w:bCs/>
          <w:sz w:val="44"/>
          <w:szCs w:val="44"/>
        </w:rPr>
        <w:t>目</w:t>
      </w:r>
      <w:r>
        <w:rPr>
          <w:rFonts w:ascii="Times New Roman" w:hAnsi="Times New Roman" w:eastAsia="黑体" w:cs="Times New Roman"/>
          <w:bCs/>
          <w:sz w:val="44"/>
          <w:szCs w:val="44"/>
        </w:rPr>
        <w:t xml:space="preserve">  </w:t>
      </w:r>
      <w:r>
        <w:rPr>
          <w:rFonts w:ascii="Times New Roman" w:hAnsi="TimesNewRoman" w:eastAsia="黑体" w:cs="Times New Roman"/>
          <w:bCs/>
          <w:sz w:val="44"/>
          <w:szCs w:val="44"/>
        </w:rPr>
        <w:t>录</w:t>
      </w:r>
    </w:p>
    <w:p w14:paraId="4BAA6DAA">
      <w:pPr>
        <w:rPr>
          <w:rFonts w:ascii="Times New Roman" w:hAnsi="Times New Roman" w:cs="Times New Roman"/>
        </w:rPr>
      </w:pPr>
    </w:p>
    <w:p w14:paraId="2070C038">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第一部分</w:t>
      </w:r>
      <w:r>
        <w:rPr>
          <w:rFonts w:ascii="Times New Roman" w:hAnsi="Times New Roman" w:eastAsia="仿宋_GB2312" w:cs="Times New Roman"/>
          <w:b/>
          <w:sz w:val="32"/>
          <w:szCs w:val="32"/>
        </w:rPr>
        <w:t xml:space="preserve"> </w:t>
      </w:r>
      <w:r>
        <w:rPr>
          <w:rFonts w:ascii="Times New Roman" w:hAnsi="TimesNewRoman" w:eastAsia="仿宋_GB2312" w:cs="Times New Roman"/>
          <w:b/>
          <w:sz w:val="32"/>
          <w:szCs w:val="32"/>
        </w:rPr>
        <w:t>部门（单位）概况</w:t>
      </w:r>
    </w:p>
    <w:p w14:paraId="0603D330">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、主要职责</w:t>
      </w:r>
    </w:p>
    <w:p w14:paraId="2B724CB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、部门（单位）预算构成</w:t>
      </w:r>
    </w:p>
    <w:p w14:paraId="53753D5C">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 xml:space="preserve">3 </w:t>
      </w:r>
      <w:r>
        <w:rPr>
          <w:rFonts w:ascii="Times New Roman" w:hAnsi="TimesNewRoman" w:eastAsia="仿宋_GB2312" w:cs="Times New Roman"/>
          <w:bCs/>
          <w:sz w:val="32"/>
          <w:szCs w:val="32"/>
        </w:rPr>
        <w:t>、</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年度主要工作任务</w:t>
      </w:r>
    </w:p>
    <w:p w14:paraId="3CAEB653">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第二部分</w:t>
      </w:r>
      <w:r>
        <w:rPr>
          <w:rFonts w:ascii="Times New Roman" w:hAnsi="Times New Roman" w:eastAsia="仿宋_GB2312" w:cs="Times New Roman"/>
          <w:b/>
          <w:sz w:val="32"/>
          <w:szCs w:val="32"/>
        </w:rPr>
        <w:t xml:space="preserve"> 2023</w:t>
      </w:r>
      <w:r>
        <w:rPr>
          <w:rFonts w:ascii="Times New Roman" w:hAnsi="TimesNewRoman" w:eastAsia="仿宋_GB2312" w:cs="Times New Roman"/>
          <w:b/>
          <w:sz w:val="32"/>
          <w:szCs w:val="32"/>
        </w:rPr>
        <w:t>年部门（单位）预算表</w:t>
      </w:r>
    </w:p>
    <w:p w14:paraId="4B16452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年收支总表</w:t>
      </w:r>
    </w:p>
    <w:p w14:paraId="549095A1">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年收入总表</w:t>
      </w:r>
    </w:p>
    <w:p w14:paraId="7917BE13">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年支出总表</w:t>
      </w:r>
    </w:p>
    <w:p w14:paraId="251D2469">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年财政拨款收支总表</w:t>
      </w:r>
    </w:p>
    <w:p w14:paraId="2AC3C1C8">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年一般公共预算支出表</w:t>
      </w:r>
    </w:p>
    <w:p w14:paraId="6810FF3B">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年一般公共预算基本支出表</w:t>
      </w:r>
    </w:p>
    <w:p w14:paraId="012DEA09">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年政府性基金预算支出表</w:t>
      </w:r>
    </w:p>
    <w:p w14:paraId="494FF737">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年国有资本经营预算支出表</w:t>
      </w:r>
    </w:p>
    <w:p w14:paraId="190384F5">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年项目支出表</w:t>
      </w:r>
    </w:p>
    <w:p w14:paraId="337CD55A">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年政府采购支出表</w:t>
      </w:r>
    </w:p>
    <w:p w14:paraId="1DAB38C6">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w:t>
      </w:r>
      <w:r>
        <w:rPr>
          <w:rFonts w:ascii="Times New Roman" w:hAnsi="TimesNewRoman" w:eastAsia="仿宋_GB2312" w:cs="Times New Roman"/>
          <w:bCs/>
          <w:sz w:val="32"/>
          <w:szCs w:val="32"/>
        </w:rPr>
        <w:t>、淮北市中医医院</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年政府购买服务支出表</w:t>
      </w:r>
    </w:p>
    <w:p w14:paraId="41699AB3">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第三部分</w:t>
      </w:r>
      <w:r>
        <w:rPr>
          <w:rFonts w:ascii="Times New Roman" w:hAnsi="Times New Roman" w:eastAsia="仿宋_GB2312" w:cs="Times New Roman"/>
          <w:b/>
          <w:sz w:val="32"/>
          <w:szCs w:val="32"/>
        </w:rPr>
        <w:t xml:space="preserve"> 2023</w:t>
      </w:r>
      <w:r>
        <w:rPr>
          <w:rFonts w:ascii="Times New Roman" w:hAnsi="TimesNewRoman" w:eastAsia="仿宋_GB2312" w:cs="Times New Roman"/>
          <w:b/>
          <w:sz w:val="32"/>
          <w:szCs w:val="32"/>
        </w:rPr>
        <w:t>年部门（单位）预算情况说明</w:t>
      </w:r>
    </w:p>
    <w:p w14:paraId="0828384F">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年收支总表的说明</w:t>
      </w:r>
    </w:p>
    <w:p w14:paraId="5641EC6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2</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年收入总表的说明</w:t>
      </w:r>
    </w:p>
    <w:p w14:paraId="2588C105">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3</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年支出总表的说明</w:t>
      </w:r>
    </w:p>
    <w:p w14:paraId="058866DA">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4</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年财政拨款收支总表的说明</w:t>
      </w:r>
    </w:p>
    <w:p w14:paraId="4353EED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5</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年一般公共预算支出表的说明</w:t>
      </w:r>
    </w:p>
    <w:p w14:paraId="2A101D32">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6</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年一般公共预算基本支出表的说明</w:t>
      </w:r>
    </w:p>
    <w:p w14:paraId="0BC8D31D">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7</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年政府性基金预算支出表的说明</w:t>
      </w:r>
    </w:p>
    <w:p w14:paraId="71DCC667">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8</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年国有资本经营预算支出表的说明</w:t>
      </w:r>
    </w:p>
    <w:p w14:paraId="07EA6F35">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9</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年项目支出表的说明</w:t>
      </w:r>
    </w:p>
    <w:p w14:paraId="64178E14">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10</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年政府采购支出表的说明</w:t>
      </w:r>
    </w:p>
    <w:p w14:paraId="15287C0C">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11</w:t>
      </w:r>
      <w:r>
        <w:rPr>
          <w:rFonts w:ascii="Times New Roman" w:hAnsi="TimesNewRoman" w:eastAsia="仿宋_GB2312" w:cs="Times New Roman"/>
          <w:bCs/>
          <w:sz w:val="32"/>
          <w:szCs w:val="32"/>
        </w:rPr>
        <w:t>、关于</w:t>
      </w:r>
      <w:r>
        <w:rPr>
          <w:rFonts w:ascii="Times New Roman" w:hAnsi="Times New Roman" w:eastAsia="仿宋_GB2312" w:cs="Times New Roman"/>
          <w:bCs/>
          <w:sz w:val="32"/>
          <w:szCs w:val="32"/>
        </w:rPr>
        <w:t>2023</w:t>
      </w:r>
      <w:r>
        <w:rPr>
          <w:rFonts w:ascii="Times New Roman" w:hAnsi="TimesNewRoman" w:eastAsia="仿宋_GB2312" w:cs="Times New Roman"/>
          <w:bCs/>
          <w:sz w:val="32"/>
          <w:szCs w:val="32"/>
        </w:rPr>
        <w:t>年政府购买服务支出表的说明</w:t>
      </w:r>
    </w:p>
    <w:p w14:paraId="6DF27B57">
      <w:pPr>
        <w:pStyle w:val="4"/>
        <w:adjustRightInd w:val="0"/>
        <w:snapToGrid w:val="0"/>
        <w:spacing w:line="400" w:lineRule="exact"/>
        <w:ind w:firstLine="800" w:firstLineChars="250"/>
        <w:rPr>
          <w:rFonts w:ascii="Times New Roman" w:hAnsi="Times New Roman" w:eastAsia="仿宋_GB2312" w:cs="Times New Roman"/>
          <w:bCs/>
          <w:sz w:val="32"/>
          <w:szCs w:val="32"/>
        </w:rPr>
      </w:pPr>
      <w:r>
        <w:rPr>
          <w:rFonts w:ascii="Times New Roman" w:hAnsi="Times New Roman" w:eastAsia="仿宋_GB2312" w:cs="Times New Roman"/>
          <w:bCs/>
          <w:sz w:val="32"/>
          <w:szCs w:val="32"/>
        </w:rPr>
        <w:t>12</w:t>
      </w:r>
      <w:r>
        <w:rPr>
          <w:rFonts w:ascii="Times New Roman" w:hAnsi="TimesNewRoman" w:eastAsia="仿宋_GB2312" w:cs="Times New Roman"/>
          <w:bCs/>
          <w:sz w:val="32"/>
          <w:szCs w:val="32"/>
        </w:rPr>
        <w:t>、其他重要事项情况说明</w:t>
      </w:r>
    </w:p>
    <w:p w14:paraId="0823FEB6">
      <w:pPr>
        <w:pStyle w:val="4"/>
        <w:adjustRightInd w:val="0"/>
        <w:snapToGrid w:val="0"/>
        <w:spacing w:line="400" w:lineRule="exact"/>
        <w:ind w:firstLine="643" w:firstLineChars="200"/>
        <w:rPr>
          <w:rFonts w:ascii="Times New Roman" w:hAnsi="Times New Roman" w:eastAsia="仿宋_GB2312" w:cs="Times New Roman"/>
          <w:b/>
          <w:sz w:val="32"/>
          <w:szCs w:val="32"/>
        </w:rPr>
      </w:pPr>
      <w:r>
        <w:rPr>
          <w:rFonts w:ascii="Times New Roman" w:hAnsi="TimesNewRoman" w:eastAsia="仿宋_GB2312" w:cs="Times New Roman"/>
          <w:b/>
          <w:sz w:val="32"/>
          <w:szCs w:val="32"/>
        </w:rPr>
        <w:t>第四部分</w:t>
      </w:r>
      <w:r>
        <w:rPr>
          <w:rFonts w:ascii="Times New Roman" w:hAnsi="Times New Roman" w:eastAsia="仿宋_GB2312" w:cs="Times New Roman"/>
          <w:b/>
          <w:sz w:val="32"/>
          <w:szCs w:val="32"/>
        </w:rPr>
        <w:t xml:space="preserve"> </w:t>
      </w:r>
      <w:r>
        <w:rPr>
          <w:rFonts w:ascii="Times New Roman" w:hAnsi="TimesNewRoman" w:eastAsia="仿宋_GB2312" w:cs="Times New Roman"/>
          <w:b/>
          <w:sz w:val="32"/>
          <w:szCs w:val="32"/>
        </w:rPr>
        <w:t>名词解释</w:t>
      </w:r>
    </w:p>
    <w:p w14:paraId="2EB670F1">
      <w:pPr>
        <w:pStyle w:val="4"/>
        <w:adjustRightInd w:val="0"/>
        <w:snapToGrid w:val="0"/>
        <w:spacing w:before="0" w:beforeAutospacing="0" w:after="0" w:afterAutospacing="0" w:line="500" w:lineRule="exact"/>
        <w:ind w:firstLine="643" w:firstLineChars="200"/>
        <w:rPr>
          <w:rFonts w:hint="eastAsia" w:ascii="仿宋_GB2312" w:hAnsi="仿宋" w:eastAsia="仿宋_GB2312" w:cs="仿宋"/>
          <w:b/>
          <w:sz w:val="32"/>
          <w:szCs w:val="32"/>
        </w:rPr>
      </w:pPr>
      <w:r>
        <w:rPr>
          <w:rFonts w:hint="eastAsia" w:ascii="仿宋_GB2312" w:hAnsi="仿宋" w:eastAsia="仿宋_GB2312" w:cs="仿宋"/>
          <w:b/>
          <w:sz w:val="32"/>
          <w:szCs w:val="32"/>
        </w:rPr>
        <w:t>第五部分 其它公开事项</w:t>
      </w:r>
    </w:p>
    <w:p w14:paraId="3B100FB7">
      <w:pPr>
        <w:pStyle w:val="4"/>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1. 淮北市</w:t>
      </w:r>
      <w:r>
        <w:rPr>
          <w:rFonts w:hint="eastAsia" w:ascii="仿宋_GB2312" w:hAnsi="仿宋" w:eastAsia="仿宋_GB2312" w:cs="仿宋"/>
          <w:bCs/>
          <w:sz w:val="32"/>
          <w:szCs w:val="32"/>
          <w:lang w:val="en-US" w:eastAsia="zh-CN"/>
        </w:rPr>
        <w:t>中医</w:t>
      </w:r>
      <w:r>
        <w:rPr>
          <w:rFonts w:hint="eastAsia" w:ascii="仿宋_GB2312" w:hAnsi="仿宋" w:eastAsia="仿宋_GB2312" w:cs="仿宋"/>
          <w:bCs/>
          <w:sz w:val="32"/>
          <w:szCs w:val="32"/>
        </w:rPr>
        <w:t>医院</w:t>
      </w:r>
      <w:r>
        <w:rPr>
          <w:rFonts w:hint="eastAsia" w:ascii="仿宋_GB2312" w:hAnsi="仿宋" w:eastAsia="仿宋_GB2312" w:cs="仿宋"/>
          <w:bCs/>
          <w:sz w:val="32"/>
          <w:szCs w:val="32"/>
          <w:lang w:eastAsia="zh-CN"/>
        </w:rPr>
        <w:t>2023</w:t>
      </w:r>
      <w:r>
        <w:rPr>
          <w:rFonts w:hint="eastAsia" w:ascii="仿宋_GB2312" w:hAnsi="仿宋" w:eastAsia="仿宋_GB2312" w:cs="仿宋"/>
          <w:bCs/>
          <w:sz w:val="32"/>
          <w:szCs w:val="32"/>
        </w:rPr>
        <w:t>年部门预算纳入绩效考评项目表</w:t>
      </w:r>
    </w:p>
    <w:p w14:paraId="65B87ADB">
      <w:pPr>
        <w:pStyle w:val="4"/>
        <w:adjustRightInd w:val="0"/>
        <w:snapToGrid w:val="0"/>
        <w:spacing w:before="0" w:beforeAutospacing="0" w:after="0" w:afterAutospacing="0" w:line="500" w:lineRule="exact"/>
        <w:ind w:firstLine="640" w:firstLineChars="200"/>
        <w:outlineLvl w:val="0"/>
        <w:rPr>
          <w:rFonts w:hint="eastAsia" w:ascii="仿宋_GB2312" w:hAnsi="仿宋" w:eastAsia="仿宋_GB2312" w:cs="仿宋"/>
          <w:bCs/>
          <w:sz w:val="32"/>
          <w:szCs w:val="32"/>
        </w:rPr>
      </w:pPr>
      <w:r>
        <w:rPr>
          <w:rFonts w:hint="eastAsia" w:ascii="仿宋_GB2312" w:hAnsi="仿宋" w:eastAsia="仿宋_GB2312" w:cs="仿宋"/>
          <w:bCs/>
          <w:sz w:val="32"/>
          <w:szCs w:val="32"/>
        </w:rPr>
        <w:t>2. 淮北市</w:t>
      </w:r>
      <w:r>
        <w:rPr>
          <w:rFonts w:hint="eastAsia" w:ascii="仿宋_GB2312" w:hAnsi="仿宋" w:eastAsia="仿宋_GB2312" w:cs="仿宋"/>
          <w:bCs/>
          <w:sz w:val="32"/>
          <w:szCs w:val="32"/>
          <w:lang w:val="en-US" w:eastAsia="zh-CN"/>
        </w:rPr>
        <w:t>中医</w:t>
      </w:r>
      <w:r>
        <w:rPr>
          <w:rFonts w:hint="eastAsia" w:ascii="仿宋_GB2312" w:hAnsi="仿宋" w:eastAsia="仿宋_GB2312" w:cs="仿宋"/>
          <w:bCs/>
          <w:sz w:val="32"/>
          <w:szCs w:val="32"/>
        </w:rPr>
        <w:t>医院</w:t>
      </w:r>
      <w:r>
        <w:rPr>
          <w:rFonts w:hint="eastAsia" w:ascii="仿宋_GB2312" w:hAnsi="仿宋" w:eastAsia="仿宋_GB2312" w:cs="仿宋"/>
          <w:bCs/>
          <w:sz w:val="32"/>
          <w:szCs w:val="32"/>
          <w:lang w:eastAsia="zh-CN"/>
        </w:rPr>
        <w:t>2023</w:t>
      </w:r>
      <w:r>
        <w:rPr>
          <w:rFonts w:hint="eastAsia" w:ascii="仿宋_GB2312" w:hAnsi="仿宋" w:eastAsia="仿宋_GB2312" w:cs="仿宋"/>
          <w:bCs/>
          <w:sz w:val="32"/>
          <w:szCs w:val="32"/>
        </w:rPr>
        <w:t>年部门预算专项资金管理清单（专栏公开）</w:t>
      </w:r>
    </w:p>
    <w:p w14:paraId="0BD5D2C6">
      <w:pPr>
        <w:pStyle w:val="4"/>
        <w:adjustRightInd w:val="0"/>
        <w:snapToGrid w:val="0"/>
        <w:spacing w:line="400" w:lineRule="exact"/>
        <w:ind w:firstLine="800" w:firstLineChars="250"/>
        <w:rPr>
          <w:rFonts w:ascii="Times New Roman" w:hAnsi="Times New Roman" w:eastAsia="仿宋_GB2312" w:cs="Times New Roman"/>
          <w:bCs/>
          <w:sz w:val="32"/>
          <w:szCs w:val="32"/>
        </w:rPr>
      </w:pPr>
    </w:p>
    <w:p w14:paraId="6F2C9123">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第一部分</w:t>
      </w:r>
      <w:r>
        <w:rPr>
          <w:rFonts w:ascii="Times New Roman" w:hAnsi="Times New Roman" w:eastAsia="黑体" w:cs="Times New Roman"/>
          <w:bCs/>
          <w:sz w:val="36"/>
          <w:szCs w:val="36"/>
        </w:rPr>
        <w:t xml:space="preserve"> </w:t>
      </w:r>
      <w:r>
        <w:rPr>
          <w:rFonts w:ascii="Times New Roman" w:hAnsi="TimesNewRoman" w:eastAsia="黑体" w:cs="Times New Roman"/>
          <w:bCs/>
          <w:sz w:val="36"/>
          <w:szCs w:val="36"/>
        </w:rPr>
        <w:t>部门（单位）概况</w:t>
      </w:r>
    </w:p>
    <w:p w14:paraId="05E346C3">
      <w:pPr>
        <w:rPr>
          <w:rFonts w:ascii="Times New Roman" w:hAnsi="Times New Roman" w:cs="Times New Roman"/>
        </w:rPr>
      </w:pPr>
    </w:p>
    <w:p w14:paraId="4F9E99E1">
      <w:pPr>
        <w:pStyle w:val="4"/>
        <w:numPr>
          <w:ilvl w:val="0"/>
          <w:numId w:val="1"/>
        </w:numPr>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主要职责</w:t>
      </w:r>
    </w:p>
    <w:p w14:paraId="7E572C02">
      <w:pPr>
        <w:pStyle w:val="4"/>
        <w:numPr>
          <w:ilvl w:val="0"/>
          <w:numId w:val="2"/>
        </w:numPr>
        <w:adjustRightInd w:val="0"/>
        <w:snapToGrid w:val="0"/>
        <w:spacing w:before="0" w:beforeAutospacing="0" w:after="0" w:afterAutospacing="0" w:line="540" w:lineRule="exact"/>
        <w:ind w:left="0"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依照《中共中央 国务院关于促进中医药传承创新发展的意见》《中华人民共和国中医药法》和相关政府部门规定和要求，承担临床医疗、医学教育、医学科研、预防保健等任务，充分利用中医药技术方法和现代科学技术，以提供急危重症和疑难复杂疾病的中医诊疗服务和中医优势病种的中医门诊诊疗服务等中医药服务为主。</w:t>
      </w:r>
    </w:p>
    <w:p w14:paraId="16320FCE">
      <w:pPr>
        <w:pStyle w:val="4"/>
        <w:numPr>
          <w:ilvl w:val="0"/>
          <w:numId w:val="2"/>
        </w:numPr>
        <w:adjustRightInd w:val="0"/>
        <w:snapToGrid w:val="0"/>
        <w:spacing w:before="0" w:beforeAutospacing="0" w:after="0" w:afterAutospacing="0" w:line="540" w:lineRule="exact"/>
        <w:ind w:left="0" w:firstLine="640" w:firstLineChars="200"/>
        <w:jc w:val="both"/>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贯彻落实新时期我国卫生与健康工作方针，坚持以人民健康为中心，强化以中医药服务为主的办院模式和服务功能，注重在疾病治疗、预防和康复中发挥中医药特色优势，以救死扶伤、防病治病、提高人民健康水平和促进中医药传承创新发展。</w:t>
      </w:r>
    </w:p>
    <w:p w14:paraId="17326CD9">
      <w:pPr>
        <w:pStyle w:val="4"/>
        <w:adjustRightInd w:val="0"/>
        <w:snapToGrid w:val="0"/>
        <w:spacing w:line="560" w:lineRule="exact"/>
        <w:rPr>
          <w:rFonts w:ascii="Times New Roman" w:hAnsi="Times New Roman" w:eastAsia="黑体" w:cs="Times New Roman"/>
          <w:bCs/>
          <w:sz w:val="32"/>
          <w:szCs w:val="32"/>
        </w:rPr>
      </w:pPr>
    </w:p>
    <w:p w14:paraId="5D563FE3">
      <w:pPr>
        <w:pStyle w:val="4"/>
        <w:adjustRightInd w:val="0"/>
        <w:snapToGrid w:val="0"/>
        <w:spacing w:line="560" w:lineRule="exact"/>
        <w:rPr>
          <w:rFonts w:ascii="Times New Roman" w:hAnsi="Times New Roman" w:eastAsia="黑体" w:cs="Times New Roman"/>
          <w:bCs/>
          <w:sz w:val="32"/>
          <w:szCs w:val="32"/>
        </w:rPr>
      </w:pPr>
    </w:p>
    <w:p w14:paraId="5ECE3C94">
      <w:pPr>
        <w:pStyle w:val="4"/>
        <w:numPr>
          <w:ilvl w:val="0"/>
          <w:numId w:val="1"/>
        </w:numPr>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部门（单位）预算构成</w:t>
      </w:r>
    </w:p>
    <w:p w14:paraId="5A69EB76">
      <w:pPr>
        <w:widowControl/>
        <w:adjustRightInd w:val="0"/>
        <w:snapToGrid w:val="0"/>
        <w:spacing w:line="600" w:lineRule="exact"/>
        <w:ind w:firstLine="480" w:firstLineChars="150"/>
        <w:jc w:val="left"/>
        <w:outlineLvl w:val="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从预算单位构成看，</w:t>
      </w:r>
      <w:r>
        <w:rPr>
          <w:rFonts w:ascii="Times New Roman" w:hAnsi="Times New Roman" w:eastAsia="仿宋_GB2312" w:cs="Times New Roman"/>
          <w:bCs/>
          <w:kern w:val="0"/>
          <w:sz w:val="32"/>
          <w:szCs w:val="32"/>
        </w:rPr>
        <w:t>淮北市中医医院</w:t>
      </w:r>
      <w:r>
        <w:rPr>
          <w:rFonts w:ascii="Times New Roman" w:hAnsi="Times New Roman" w:eastAsia="仿宋_GB2312" w:cs="Times New Roman"/>
          <w:kern w:val="0"/>
          <w:sz w:val="32"/>
          <w:szCs w:val="32"/>
        </w:rPr>
        <w:t>2023年度部门预算仅包括本级预算，无其他下属单位预算。</w:t>
      </w:r>
    </w:p>
    <w:p w14:paraId="0154D35B">
      <w:pPr>
        <w:pStyle w:val="4"/>
        <w:adjustRightInd w:val="0"/>
        <w:snapToGrid w:val="0"/>
        <w:spacing w:line="560" w:lineRule="exact"/>
        <w:ind w:left="412" w:leftChars="196"/>
        <w:rPr>
          <w:rFonts w:ascii="Times New Roman" w:hAnsi="Times New Roman" w:eastAsia="黑体" w:cs="Times New Roman"/>
          <w:bCs/>
          <w:sz w:val="32"/>
          <w:szCs w:val="32"/>
        </w:rPr>
      </w:pPr>
    </w:p>
    <w:p w14:paraId="784C081D">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三、</w:t>
      </w:r>
      <w:r>
        <w:rPr>
          <w:rFonts w:ascii="Times New Roman" w:hAnsi="Times New Roman" w:eastAsia="黑体" w:cs="Times New Roman"/>
          <w:bCs/>
          <w:sz w:val="32"/>
          <w:szCs w:val="32"/>
        </w:rPr>
        <w:t>2023</w:t>
      </w:r>
      <w:r>
        <w:rPr>
          <w:rFonts w:ascii="Times New Roman" w:hAnsi="TimesNewRoman" w:eastAsia="黑体" w:cs="Times New Roman"/>
          <w:bCs/>
          <w:sz w:val="32"/>
          <w:szCs w:val="32"/>
        </w:rPr>
        <w:t>年度主要工作任务</w:t>
      </w:r>
    </w:p>
    <w:p w14:paraId="073BC99B">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（一）全面加强党的建设，深化党建与业务融合，以建立现代医院管理制度为抓手，建立健全科学高效的内部运行机制，打造党建和文化建设品牌，提升运营管理精细化水平。</w:t>
      </w:r>
    </w:p>
    <w:p w14:paraId="4386AF12">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（二）深入贯彻党的十九届历次全会精神和习近平总书记一系列重要指示，落实国家、省、市决策部署，按“外防输入、内防反弹”等要求做好医院疫情防控主力军工作。</w:t>
      </w:r>
    </w:p>
    <w:p w14:paraId="531554F3">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（三）推进省级中医医疗中心建设，推动医防融合和中西医协同发展，组建专科专病联盟及名医工作室，在区域内发挥辐射及龙头带动效应，打造中医医疗新高地。</w:t>
      </w:r>
    </w:p>
    <w:p w14:paraId="1869BFAA">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（四）积极推进国家中医特色重点项目“中西医结合综合楼”建设，为全面提升医院中医药医疗保障能力提供强有力的支撑，为创建省级中医医疗中心提供新的助力。</w:t>
      </w:r>
    </w:p>
    <w:p w14:paraId="14742089">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（五）进一步加强医院学科建设、坚持中西医并重、中西医协同发展的战略，突出中医学科体系建设，厚植优势学科，培育发展新学科，构建中医学科群。</w:t>
      </w:r>
    </w:p>
    <w:p w14:paraId="7A47F91B">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（六）发挥中医优势病种的优势、不断扩大及提高优势病种的种类和疗效。不断完善临床诊疗指南和实施性临床路径并推广应用，彰显中医特色优势。加强门急诊建设、增设专科及专病门诊。 </w:t>
      </w:r>
    </w:p>
    <w:p w14:paraId="5C2C30A5">
      <w:pPr>
        <w:pStyle w:val="4"/>
        <w:adjustRightInd w:val="0"/>
        <w:snapToGrid w:val="0"/>
        <w:spacing w:before="0" w:beforeAutospacing="0" w:after="0" w:afterAutospacing="0" w:line="540" w:lineRule="exact"/>
        <w:ind w:firstLine="419" w:firstLineChars="13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（七）推进人才兴院战略，发挥好医院三大人才计划的优势、吸纳和培养高层次临床人才，加速人才梯队建设。</w:t>
      </w:r>
    </w:p>
    <w:p w14:paraId="7EB1BEFB">
      <w:pPr>
        <w:pStyle w:val="4"/>
        <w:adjustRightInd w:val="0"/>
        <w:snapToGrid w:val="0"/>
        <w:spacing w:line="560" w:lineRule="exact"/>
        <w:ind w:firstLine="627" w:firstLineChars="196"/>
        <w:rPr>
          <w:rFonts w:ascii="Times New Roman" w:hAnsi="Times New Roman" w:eastAsia="仿宋_GB2312" w:cs="Times New Roman"/>
          <w:bCs/>
          <w:sz w:val="32"/>
          <w:szCs w:val="32"/>
        </w:rPr>
      </w:pPr>
    </w:p>
    <w:p w14:paraId="777DCE00">
      <w:pPr>
        <w:rPr>
          <w:rFonts w:ascii="Times New Roman" w:hAnsi="Times New Roman" w:cs="Times New Roman"/>
        </w:rPr>
      </w:pPr>
    </w:p>
    <w:p w14:paraId="3FF2A589">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第二部分</w:t>
      </w:r>
      <w:r>
        <w:rPr>
          <w:rFonts w:ascii="Times New Roman" w:hAnsi="Times New Roman" w:eastAsia="黑体" w:cs="Times New Roman"/>
          <w:bCs/>
          <w:sz w:val="36"/>
          <w:szCs w:val="36"/>
        </w:rPr>
        <w:t xml:space="preserve"> 2023</w:t>
      </w:r>
      <w:r>
        <w:rPr>
          <w:rFonts w:ascii="Times New Roman" w:hAnsi="TimesNewRoman" w:eastAsia="黑体" w:cs="Times New Roman"/>
          <w:bCs/>
          <w:sz w:val="36"/>
          <w:szCs w:val="36"/>
        </w:rPr>
        <w:t>年部门（单位）预算表</w:t>
      </w:r>
    </w:p>
    <w:p w14:paraId="24440BD9">
      <w:pPr>
        <w:pStyle w:val="4"/>
        <w:adjustRightInd w:val="0"/>
        <w:snapToGrid w:val="0"/>
        <w:spacing w:line="560" w:lineRule="exact"/>
        <w:ind w:firstLine="627" w:firstLineChars="196"/>
        <w:jc w:val="center"/>
        <w:rPr>
          <w:rFonts w:ascii="Times New Roman" w:hAnsi="Times New Roman" w:eastAsia="仿宋_GB2312" w:cs="Times New Roman"/>
          <w:bCs/>
          <w:sz w:val="32"/>
          <w:szCs w:val="32"/>
        </w:rPr>
      </w:pPr>
      <w:r>
        <w:rPr>
          <w:rFonts w:ascii="Times New Roman" w:hAnsi="TimesNewRoman" w:eastAsia="仿宋_GB2312" w:cs="Times New Roman"/>
          <w:bCs/>
          <w:sz w:val="32"/>
          <w:szCs w:val="32"/>
        </w:rPr>
        <w:t>见附件</w:t>
      </w:r>
      <w:r>
        <w:rPr>
          <w:rFonts w:ascii="Times New Roman" w:hAnsi="Times New Roman" w:eastAsia="仿宋_GB2312" w:cs="Times New Roman"/>
          <w:bCs/>
          <w:sz w:val="32"/>
          <w:szCs w:val="32"/>
        </w:rPr>
        <w:t>1-2</w:t>
      </w:r>
    </w:p>
    <w:p w14:paraId="52DAF1FF">
      <w:pPr>
        <w:rPr>
          <w:rFonts w:ascii="Times New Roman" w:hAnsi="Times New Roman" w:cs="Times New Roman"/>
        </w:rPr>
      </w:pPr>
    </w:p>
    <w:p w14:paraId="176475DD">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第三部分</w:t>
      </w:r>
      <w:r>
        <w:rPr>
          <w:rFonts w:ascii="Times New Roman" w:hAnsi="Times New Roman" w:eastAsia="黑体" w:cs="Times New Roman"/>
          <w:bCs/>
          <w:sz w:val="36"/>
          <w:szCs w:val="36"/>
        </w:rPr>
        <w:t xml:space="preserve"> 2023</w:t>
      </w:r>
      <w:r>
        <w:rPr>
          <w:rFonts w:ascii="Times New Roman" w:hAnsi="TimesNewRoman" w:eastAsia="黑体" w:cs="Times New Roman"/>
          <w:bCs/>
          <w:sz w:val="36"/>
          <w:szCs w:val="36"/>
        </w:rPr>
        <w:t>年部门（单位）预算情况说明</w:t>
      </w:r>
    </w:p>
    <w:p w14:paraId="6B238DC9">
      <w:pPr>
        <w:rPr>
          <w:rFonts w:ascii="Times New Roman" w:hAnsi="Times New Roman" w:cs="Times New Roman"/>
        </w:rPr>
      </w:pPr>
    </w:p>
    <w:p w14:paraId="5F61DDFA">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一、关于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年收支总表的说明</w:t>
      </w:r>
    </w:p>
    <w:p w14:paraId="5904C471">
      <w:pPr>
        <w:pStyle w:val="4"/>
        <w:adjustRightInd w:val="0"/>
        <w:snapToGrid w:val="0"/>
        <w:spacing w:line="560" w:lineRule="exact"/>
        <w:ind w:firstLine="627" w:firstLineChars="196"/>
        <w:rPr>
          <w:rFonts w:ascii="Times New Roman" w:hAnsi="Times New Roman" w:eastAsia="仿宋_GB2312" w:cs="Times New Roman"/>
          <w:sz w:val="32"/>
          <w:szCs w:val="32"/>
        </w:rPr>
      </w:pPr>
      <w:r>
        <w:rPr>
          <w:rFonts w:ascii="Times New Roman" w:hAnsi="TimesNewRoman" w:eastAsia="仿宋_GB2312" w:cs="Times New Roman"/>
          <w:sz w:val="32"/>
          <w:szCs w:val="32"/>
        </w:rPr>
        <w:t>按照综合预算的原则，</w:t>
      </w:r>
      <w:r>
        <w:rPr>
          <w:rFonts w:ascii="Times New Roman" w:hAnsi="Times New Roman" w:eastAsia="仿宋_GB2312" w:cs="Times New Roman"/>
          <w:sz w:val="32"/>
          <w:szCs w:val="32"/>
        </w:rPr>
        <w:t>淮北市中医医院</w:t>
      </w:r>
      <w:r>
        <w:rPr>
          <w:rFonts w:ascii="Times New Roman" w:hAnsi="TimesNewRoman" w:eastAsia="仿宋_GB2312" w:cs="Times New Roman"/>
          <w:sz w:val="32"/>
          <w:szCs w:val="32"/>
        </w:rPr>
        <w:t>所有收入和支出均纳入部门（单位）预算管理。</w:t>
      </w:r>
      <w:r>
        <w:rPr>
          <w:rFonts w:ascii="Times New Roman" w:hAnsi="Times New Roman" w:eastAsia="仿宋_GB2312" w:cs="Times New Roman"/>
          <w:sz w:val="32"/>
          <w:szCs w:val="32"/>
        </w:rPr>
        <w:t>淮北市中医医院2023</w:t>
      </w:r>
      <w:r>
        <w:rPr>
          <w:rFonts w:ascii="Times New Roman" w:hAnsi="TimesNewRoman" w:eastAsia="仿宋_GB2312" w:cs="Times New Roman"/>
          <w:sz w:val="32"/>
          <w:szCs w:val="32"/>
        </w:rPr>
        <w:t>年收支总预算</w:t>
      </w:r>
      <w:r>
        <w:rPr>
          <w:rFonts w:ascii="Times New Roman" w:hAnsi="Times New Roman" w:eastAsia="仿宋_GB2312" w:cs="Times New Roman"/>
          <w:sz w:val="32"/>
          <w:szCs w:val="32"/>
        </w:rPr>
        <w:t>614</w:t>
      </w:r>
      <w:r>
        <w:rPr>
          <w:rFonts w:ascii="Times New Roman" w:hAnsi="TimesNewRoman" w:eastAsia="仿宋_GB2312" w:cs="Times New Roman"/>
          <w:sz w:val="32"/>
          <w:szCs w:val="32"/>
        </w:rPr>
        <w:t>万元，收入</w:t>
      </w:r>
      <w:r>
        <w:rPr>
          <w:rFonts w:hint="eastAsia" w:ascii="Times New Roman" w:hAnsi="TimesNewRoman" w:eastAsia="仿宋_GB2312" w:cs="Times New Roman"/>
          <w:sz w:val="32"/>
          <w:szCs w:val="32"/>
          <w:lang w:val="en-US" w:eastAsia="zh-CN"/>
        </w:rPr>
        <w:t>全部是</w:t>
      </w:r>
      <w:r>
        <w:rPr>
          <w:rFonts w:ascii="Times New Roman" w:hAnsi="TimesNewRoman" w:eastAsia="仿宋_GB2312" w:cs="Times New Roman"/>
          <w:sz w:val="32"/>
          <w:szCs w:val="32"/>
        </w:rPr>
        <w:t>一般公共预算拨款收入</w:t>
      </w:r>
      <w:r>
        <w:rPr>
          <w:rFonts w:ascii="Times New Roman" w:hAnsi="Times New Roman" w:eastAsia="仿宋_GB2312" w:cs="Times New Roman"/>
          <w:sz w:val="32"/>
          <w:szCs w:val="32"/>
        </w:rPr>
        <w:t>614</w:t>
      </w:r>
      <w:r>
        <w:rPr>
          <w:rFonts w:ascii="Times New Roman" w:hAnsi="TimesNewRoman" w:eastAsia="仿宋_GB2312" w:cs="Times New Roman"/>
          <w:sz w:val="32"/>
          <w:szCs w:val="32"/>
        </w:rPr>
        <w:t>万，支出包括：</w:t>
      </w:r>
      <w:r>
        <w:rPr>
          <w:rFonts w:ascii="Times New Roman" w:hAnsi="Times New Roman" w:eastAsia="仿宋_GB2312" w:cs="Times New Roman"/>
          <w:sz w:val="32"/>
          <w:szCs w:val="32"/>
        </w:rPr>
        <w:t>卫生健康支出、住房保障支出。</w:t>
      </w:r>
    </w:p>
    <w:p w14:paraId="423671A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二、关于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年收入总表的说明</w:t>
      </w:r>
    </w:p>
    <w:p w14:paraId="7F2BE813">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淮北市中医医院</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年收入预算</w:t>
      </w:r>
      <w:r>
        <w:rPr>
          <w:rFonts w:ascii="Times New Roman" w:hAnsi="Times New Roman" w:eastAsia="仿宋_GB2312" w:cs="Times New Roman"/>
          <w:kern w:val="0"/>
          <w:sz w:val="32"/>
          <w:szCs w:val="32"/>
        </w:rPr>
        <w:t>614</w:t>
      </w:r>
      <w:r>
        <w:rPr>
          <w:rFonts w:ascii="Times New Roman" w:hAnsi="TimesNewRoman" w:eastAsia="仿宋_GB2312" w:cs="Times New Roman"/>
          <w:kern w:val="0"/>
          <w:sz w:val="32"/>
          <w:szCs w:val="32"/>
        </w:rPr>
        <w:t>万元，其中，本年收入</w:t>
      </w:r>
      <w:r>
        <w:rPr>
          <w:rFonts w:ascii="Times New Roman" w:hAnsi="Times New Roman" w:eastAsia="仿宋_GB2312" w:cs="Times New Roman"/>
          <w:kern w:val="0"/>
          <w:sz w:val="32"/>
          <w:szCs w:val="32"/>
        </w:rPr>
        <w:t>614</w:t>
      </w:r>
      <w:r>
        <w:rPr>
          <w:rFonts w:ascii="Times New Roman" w:hAnsi="TimesNewRoman" w:eastAsia="仿宋_GB2312" w:cs="Times New Roman"/>
          <w:kern w:val="0"/>
          <w:sz w:val="32"/>
          <w:szCs w:val="32"/>
        </w:rPr>
        <w:t>万元。</w:t>
      </w:r>
    </w:p>
    <w:p w14:paraId="3EFEA637">
      <w:pPr>
        <w:numPr>
          <w:ilvl w:val="0"/>
          <w:numId w:val="3"/>
        </w:numPr>
        <w:ind w:firstLine="643" w:firstLineChars="200"/>
        <w:rPr>
          <w:rFonts w:hint="eastAsia" w:ascii="Times New Roman" w:hAnsi="Times New Roman" w:eastAsia="仿宋_GB2312" w:cs="Times New Roman"/>
          <w:sz w:val="32"/>
          <w:szCs w:val="32"/>
        </w:rPr>
      </w:pPr>
      <w:r>
        <w:rPr>
          <w:rFonts w:ascii="Times New Roman" w:hAnsi="TimesNewRoman" w:eastAsia="仿宋_GB2312" w:cs="Times New Roman"/>
          <w:b/>
          <w:kern w:val="0"/>
          <w:sz w:val="32"/>
          <w:szCs w:val="32"/>
        </w:rPr>
        <w:t>本年收入</w:t>
      </w:r>
      <w:r>
        <w:rPr>
          <w:rFonts w:ascii="Times New Roman" w:hAnsi="Times New Roman" w:eastAsia="仿宋_GB2312" w:cs="Times New Roman"/>
          <w:b/>
          <w:kern w:val="0"/>
          <w:sz w:val="32"/>
          <w:szCs w:val="32"/>
        </w:rPr>
        <w:t>614</w:t>
      </w:r>
      <w:r>
        <w:rPr>
          <w:rFonts w:ascii="Times New Roman" w:hAnsi="TimesNewRoman" w:eastAsia="仿宋_GB2312" w:cs="Times New Roman"/>
          <w:b/>
          <w:kern w:val="0"/>
          <w:sz w:val="32"/>
          <w:szCs w:val="32"/>
        </w:rPr>
        <w:t>万元，</w:t>
      </w:r>
      <w:r>
        <w:rPr>
          <w:rFonts w:ascii="Times New Roman" w:hAnsi="TimesNewRoman" w:eastAsia="仿宋_GB2312" w:cs="Times New Roman"/>
          <w:kern w:val="0"/>
          <w:sz w:val="32"/>
          <w:szCs w:val="32"/>
        </w:rPr>
        <w:t>主要包括：一般公共预算拨款收入</w:t>
      </w:r>
      <w:r>
        <w:rPr>
          <w:rFonts w:ascii="Times New Roman" w:hAnsi="Times New Roman" w:eastAsia="仿宋_GB2312" w:cs="Times New Roman"/>
          <w:kern w:val="0"/>
          <w:sz w:val="32"/>
          <w:szCs w:val="32"/>
        </w:rPr>
        <w:t>614</w:t>
      </w:r>
      <w:r>
        <w:rPr>
          <w:rFonts w:ascii="Times New Roman" w:hAnsi="TimesNewRoman" w:eastAsia="仿宋_GB2312" w:cs="Times New Roman"/>
          <w:kern w:val="0"/>
          <w:sz w:val="32"/>
          <w:szCs w:val="32"/>
        </w:rPr>
        <w:t>万元，占</w:t>
      </w:r>
      <w:r>
        <w:rPr>
          <w:rFonts w:ascii="Times New Roman" w:hAnsi="Times New Roman" w:eastAsia="仿宋_GB2312" w:cs="Times New Roman"/>
          <w:kern w:val="0"/>
          <w:sz w:val="32"/>
          <w:szCs w:val="32"/>
        </w:rPr>
        <w:t>100%</w:t>
      </w:r>
      <w:r>
        <w:rPr>
          <w:rFonts w:ascii="Times New Roman" w:hAnsi="TimesNewRoman" w:eastAsia="仿宋_GB2312" w:cs="Times New Roman"/>
          <w:kern w:val="0"/>
          <w:sz w:val="32"/>
          <w:szCs w:val="32"/>
        </w:rPr>
        <w:t>，</w:t>
      </w:r>
      <w:r>
        <w:rPr>
          <w:rFonts w:ascii="Times New Roman" w:hAnsi="Times New Roman" w:eastAsia="仿宋_GB2312" w:cs="Times New Roman"/>
          <w:sz w:val="32"/>
          <w:szCs w:val="32"/>
        </w:rPr>
        <w:t>与2022年预算相比无变化</w:t>
      </w:r>
      <w:r>
        <w:rPr>
          <w:rFonts w:hint="eastAsia" w:ascii="Times New Roman" w:hAnsi="Times New Roman" w:eastAsia="仿宋_GB2312" w:cs="Times New Roman"/>
          <w:sz w:val="32"/>
          <w:szCs w:val="32"/>
          <w:lang w:eastAsia="zh-CN"/>
        </w:rPr>
        <w:t>，原因主要</w:t>
      </w:r>
      <w:r>
        <w:rPr>
          <w:rFonts w:hint="eastAsia" w:ascii="Times New Roman" w:hAnsi="Times New Roman" w:eastAsia="仿宋_GB2312" w:cs="Times New Roman"/>
          <w:color w:val="auto"/>
          <w:sz w:val="32"/>
          <w:szCs w:val="32"/>
          <w:lang w:eastAsia="zh-CN"/>
        </w:rPr>
        <w:t>是我院按床位拨款，床位未变化故预算未变化</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rPr>
        <w:t>政府性基金预算拨款收入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%，比2022年预算增加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%，原因主要是</w:t>
      </w:r>
      <w:r>
        <w:rPr>
          <w:rFonts w:hint="eastAsia" w:ascii="Times New Roman" w:hAnsi="Times New Roman" w:eastAsia="仿宋_GB2312" w:cs="Times New Roman"/>
          <w:sz w:val="32"/>
          <w:szCs w:val="32"/>
          <w:lang w:eastAsia="zh-CN"/>
        </w:rPr>
        <w:t>我院无</w:t>
      </w:r>
      <w:r>
        <w:rPr>
          <w:rFonts w:hint="eastAsia" w:ascii="Times New Roman" w:hAnsi="Times New Roman" w:eastAsia="仿宋_GB2312" w:cs="Times New Roman"/>
          <w:sz w:val="32"/>
          <w:szCs w:val="32"/>
        </w:rPr>
        <w:t>政府性基金预算拨款；财政专户管理资金收入</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%，比2022年预算增加</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%，原因主要是</w:t>
      </w:r>
      <w:r>
        <w:rPr>
          <w:rFonts w:hint="eastAsia" w:ascii="Times New Roman" w:hAnsi="Times New Roman" w:eastAsia="仿宋_GB2312" w:cs="Times New Roman"/>
          <w:sz w:val="32"/>
          <w:szCs w:val="32"/>
          <w:lang w:eastAsia="zh-CN"/>
        </w:rPr>
        <w:t>我院无</w:t>
      </w:r>
      <w:r>
        <w:rPr>
          <w:rFonts w:hint="eastAsia" w:ascii="Times New Roman" w:hAnsi="Times New Roman" w:eastAsia="仿宋_GB2312" w:cs="Times New Roman"/>
          <w:sz w:val="32"/>
          <w:szCs w:val="32"/>
        </w:rPr>
        <w:t>财政专户管理资金。</w:t>
      </w:r>
    </w:p>
    <w:p w14:paraId="3CAFE9D7">
      <w:pPr>
        <w:numPr>
          <w:ilvl w:val="0"/>
          <w:numId w:val="0"/>
        </w:numPr>
        <w:rPr>
          <w:rFonts w:ascii="Times New Roman" w:hAnsi="Times New Roman" w:eastAsia="仿宋_GB2312" w:cs="Times New Roman"/>
          <w:sz w:val="32"/>
          <w:szCs w:val="32"/>
        </w:rPr>
      </w:pPr>
    </w:p>
    <w:p w14:paraId="4DBCDCEC">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三、关于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年支出总表的说明</w:t>
      </w:r>
    </w:p>
    <w:p w14:paraId="6B6F3D2E">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淮北市中医医院</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年支出预算</w:t>
      </w:r>
      <w:r>
        <w:rPr>
          <w:rFonts w:ascii="Times New Roman" w:hAnsi="Times New Roman" w:eastAsia="仿宋_GB2312" w:cs="Times New Roman"/>
          <w:kern w:val="0"/>
          <w:sz w:val="32"/>
          <w:szCs w:val="32"/>
        </w:rPr>
        <w:t>614</w:t>
      </w:r>
      <w:r>
        <w:rPr>
          <w:rFonts w:ascii="Times New Roman" w:hAnsi="TimesNewRoman" w:eastAsia="仿宋_GB2312" w:cs="Times New Roman"/>
          <w:kern w:val="0"/>
          <w:sz w:val="32"/>
          <w:szCs w:val="32"/>
        </w:rPr>
        <w:t>万元，比</w:t>
      </w:r>
      <w:r>
        <w:rPr>
          <w:rFonts w:ascii="Times New Roman" w:hAnsi="Times New Roman" w:eastAsia="仿宋_GB2312" w:cs="Times New Roman"/>
          <w:kern w:val="0"/>
          <w:sz w:val="32"/>
          <w:szCs w:val="32"/>
        </w:rPr>
        <w:t>2022</w:t>
      </w:r>
      <w:r>
        <w:rPr>
          <w:rFonts w:ascii="Times New Roman" w:hAnsi="TimesNewRoman" w:eastAsia="仿宋_GB2312" w:cs="Times New Roman"/>
          <w:kern w:val="0"/>
          <w:sz w:val="32"/>
          <w:szCs w:val="32"/>
        </w:rPr>
        <w:t>年预相比无变化。其中，基本支出</w:t>
      </w:r>
      <w:r>
        <w:rPr>
          <w:rFonts w:ascii="Times New Roman" w:hAnsi="Times New Roman" w:eastAsia="仿宋_GB2312" w:cs="Times New Roman"/>
          <w:kern w:val="0"/>
          <w:sz w:val="32"/>
          <w:szCs w:val="32"/>
        </w:rPr>
        <w:t>614</w:t>
      </w:r>
      <w:r>
        <w:rPr>
          <w:rFonts w:ascii="Times New Roman" w:hAnsi="TimesNewRoman" w:eastAsia="仿宋_GB2312" w:cs="Times New Roman"/>
          <w:kern w:val="0"/>
          <w:sz w:val="32"/>
          <w:szCs w:val="32"/>
        </w:rPr>
        <w:t>万元，占</w:t>
      </w:r>
      <w:r>
        <w:rPr>
          <w:rFonts w:ascii="Times New Roman" w:hAnsi="Times New Roman" w:eastAsia="仿宋_GB2312" w:cs="Times New Roman"/>
          <w:kern w:val="0"/>
          <w:sz w:val="32"/>
          <w:szCs w:val="32"/>
        </w:rPr>
        <w:t>100%</w:t>
      </w:r>
      <w:r>
        <w:rPr>
          <w:rFonts w:ascii="Times New Roman" w:hAnsi="TimesNewRoman" w:eastAsia="仿宋_GB2312" w:cs="Times New Roman"/>
          <w:kern w:val="0"/>
          <w:sz w:val="32"/>
          <w:szCs w:val="32"/>
        </w:rPr>
        <w:t>，</w:t>
      </w:r>
      <w:r>
        <w:rPr>
          <w:rFonts w:ascii="Times New Roman" w:hAnsi="Times New Roman" w:eastAsia="仿宋_GB2312" w:cs="Times New Roman"/>
          <w:sz w:val="32"/>
          <w:szCs w:val="32"/>
        </w:rPr>
        <w:t>主要用于保障机构日常运转、完成日常工作任务的人员工资支出及公积金支出。</w:t>
      </w:r>
    </w:p>
    <w:p w14:paraId="355E463C">
      <w:pPr>
        <w:ind w:firstLine="640" w:firstLineChars="200"/>
        <w:rPr>
          <w:rFonts w:ascii="Times New Roman" w:hAnsi="Times New Roman" w:eastAsia="仿宋_GB2312" w:cs="Times New Roman"/>
          <w:kern w:val="0"/>
          <w:sz w:val="32"/>
          <w:szCs w:val="32"/>
        </w:rPr>
      </w:pPr>
    </w:p>
    <w:p w14:paraId="039A6E31">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四、关于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年财政拨款收支总表的说明</w:t>
      </w:r>
    </w:p>
    <w:p w14:paraId="03917F06">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 New Roman" w:eastAsia="仿宋_GB2312" w:cs="Times New Roman"/>
          <w:kern w:val="2"/>
          <w:sz w:val="32"/>
          <w:szCs w:val="32"/>
        </w:rPr>
        <w:t>淮北市中医医院2023年财政拨款收支预算614万元。收入按资金来源分为：一般公共预算拨款614万元；按资金年度分为：本年财政拨款收入614万元。支出按功能分类分为：卫生健康支出554万元，占90.23%；住房保障支出60万元，占9.77%</w:t>
      </w:r>
    </w:p>
    <w:p w14:paraId="7CC38625">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五、关于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年一般公共预算支出表的说明</w:t>
      </w:r>
    </w:p>
    <w:p w14:paraId="230936C6">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NewRoman" w:eastAsia="楷体_GB2312" w:cs="Times New Roman"/>
          <w:b/>
          <w:sz w:val="32"/>
          <w:szCs w:val="32"/>
        </w:rPr>
        <w:t>（一）一般公共预算支出规模变化情况。</w:t>
      </w:r>
    </w:p>
    <w:p w14:paraId="441D2152">
      <w:pPr>
        <w:pStyle w:val="4"/>
        <w:adjustRightInd w:val="0"/>
        <w:snapToGrid w:val="0"/>
        <w:spacing w:before="0" w:beforeAutospacing="0" w:after="0" w:afterAutospacing="0" w:line="600" w:lineRule="exact"/>
        <w:ind w:firstLine="627" w:firstLineChars="196"/>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淮北市中医医院2023年一般公共预算支出614万元，</w:t>
      </w:r>
      <w:r>
        <w:rPr>
          <w:rFonts w:ascii="Times New Roman" w:hAnsi="Times New Roman" w:eastAsia="仿宋_GB2312" w:cs="Times New Roman"/>
          <w:sz w:val="32"/>
          <w:szCs w:val="32"/>
        </w:rPr>
        <w:t>与2022年预算相比无变化</w:t>
      </w:r>
      <w:r>
        <w:rPr>
          <w:rFonts w:ascii="Times New Roman" w:hAnsi="Times New Roman" w:eastAsia="仿宋_GB2312" w:cs="Times New Roman"/>
          <w:kern w:val="2"/>
          <w:sz w:val="32"/>
          <w:szCs w:val="32"/>
        </w:rPr>
        <w:t>。</w:t>
      </w:r>
    </w:p>
    <w:p w14:paraId="54FCA88C">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NewRoman" w:eastAsia="楷体_GB2312" w:cs="Times New Roman"/>
          <w:b/>
          <w:sz w:val="32"/>
          <w:szCs w:val="32"/>
        </w:rPr>
        <w:t>（二）一般公共预算支出结构情况。</w:t>
      </w:r>
    </w:p>
    <w:p w14:paraId="3C6BBA8E">
      <w:pPr>
        <w:pStyle w:val="4"/>
        <w:adjustRightInd w:val="0"/>
        <w:snapToGrid w:val="0"/>
        <w:spacing w:before="0" w:beforeAutospacing="0" w:after="0" w:afterAutospacing="0" w:line="600" w:lineRule="exact"/>
        <w:ind w:firstLine="640" w:firstLineChars="200"/>
        <w:rPr>
          <w:rFonts w:ascii="Times New Roman" w:hAnsi="Times New Roman" w:eastAsia="仿宋_GB2312" w:cs="Times New Roman"/>
          <w:kern w:val="2"/>
          <w:sz w:val="32"/>
          <w:szCs w:val="32"/>
        </w:rPr>
      </w:pPr>
      <w:r>
        <w:rPr>
          <w:rFonts w:ascii="Times New Roman" w:hAnsi="Times New Roman" w:eastAsia="仿宋_GB2312" w:cs="Times New Roman"/>
          <w:kern w:val="2"/>
          <w:sz w:val="32"/>
          <w:szCs w:val="32"/>
        </w:rPr>
        <w:t>卫生健康支出554万元，占90.23%；住房保障支出60万元，占9.77%。</w:t>
      </w:r>
    </w:p>
    <w:p w14:paraId="168AB48E">
      <w:pPr>
        <w:pStyle w:val="4"/>
        <w:adjustRightInd w:val="0"/>
        <w:snapToGrid w:val="0"/>
        <w:spacing w:line="560" w:lineRule="exact"/>
        <w:ind w:firstLine="630" w:firstLineChars="196"/>
        <w:rPr>
          <w:rFonts w:ascii="Times New Roman" w:hAnsi="Times New Roman" w:eastAsia="楷体_GB2312" w:cs="Times New Roman"/>
          <w:b/>
          <w:sz w:val="32"/>
          <w:szCs w:val="32"/>
        </w:rPr>
      </w:pPr>
      <w:r>
        <w:rPr>
          <w:rFonts w:ascii="Times New Roman" w:hAnsi="TimesNewRoman" w:eastAsia="楷体_GB2312" w:cs="Times New Roman"/>
          <w:b/>
          <w:sz w:val="32"/>
          <w:szCs w:val="32"/>
        </w:rPr>
        <w:t>（三）一般公共预算支出具体使用情况。</w:t>
      </w:r>
    </w:p>
    <w:p w14:paraId="342EF5CD">
      <w:pPr>
        <w:adjustRightInd w:val="0"/>
        <w:snapToGrid w:val="0"/>
        <w:spacing w:line="600" w:lineRule="exact"/>
        <w:ind w:firstLine="643"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sz w:val="32"/>
          <w:szCs w:val="32"/>
        </w:rPr>
        <w:t>1.卫生健康支出（类）公立医院（款）中医(民族)医院（项）</w:t>
      </w:r>
      <w:r>
        <w:rPr>
          <w:rFonts w:ascii="Times New Roman" w:hAnsi="Times New Roman" w:eastAsia="仿宋_GB2312" w:cs="Times New Roman"/>
          <w:sz w:val="32"/>
          <w:szCs w:val="32"/>
        </w:rPr>
        <w:t>2023年预算554万元，与2022年预算相比无变化</w:t>
      </w:r>
      <w:r>
        <w:rPr>
          <w:rFonts w:hint="eastAsia" w:ascii="Times New Roman" w:hAnsi="Times New Roman" w:eastAsia="仿宋_GB2312" w:cs="Times New Roman"/>
          <w:sz w:val="32"/>
          <w:szCs w:val="32"/>
          <w:lang w:eastAsia="zh-CN"/>
        </w:rPr>
        <w:t>，</w:t>
      </w:r>
      <w:r>
        <w:rPr>
          <w:rFonts w:hint="eastAsia" w:ascii="TimesNewRoman" w:hAnsi="TimesNewRoman" w:eastAsia="仿宋_GB2312" w:cs="TimesNewRoman"/>
          <w:kern w:val="0"/>
          <w:sz w:val="32"/>
          <w:szCs w:val="32"/>
        </w:rPr>
        <w:t>原因主要是</w:t>
      </w:r>
      <w:r>
        <w:rPr>
          <w:rFonts w:hint="eastAsia" w:ascii="Times New Roman" w:hAnsi="Times New Roman" w:eastAsia="仿宋_GB2312" w:cs="Times New Roman"/>
          <w:color w:val="auto"/>
          <w:sz w:val="32"/>
          <w:szCs w:val="32"/>
          <w:lang w:eastAsia="zh-CN"/>
        </w:rPr>
        <w:t>我院按床位拨款，床位未变化故预算未变化。</w:t>
      </w:r>
    </w:p>
    <w:p w14:paraId="48DAE1FA">
      <w:pPr>
        <w:adjustRightInd w:val="0"/>
        <w:snapToGrid w:val="0"/>
        <w:spacing w:line="600" w:lineRule="exact"/>
        <w:ind w:firstLine="643" w:firstLineChars="200"/>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b/>
          <w:sz w:val="32"/>
          <w:szCs w:val="32"/>
        </w:rPr>
        <w:t>2.住房保障支出（类）住房改革支出（款）住房公积金（项）</w:t>
      </w:r>
      <w:r>
        <w:rPr>
          <w:rFonts w:ascii="Times New Roman" w:hAnsi="Times New Roman" w:eastAsia="仿宋_GB2312" w:cs="Times New Roman"/>
          <w:sz w:val="32"/>
          <w:szCs w:val="32"/>
        </w:rPr>
        <w:t>2023年预算60万元，与2022年预算相比无变化</w:t>
      </w:r>
      <w:r>
        <w:rPr>
          <w:rFonts w:hint="eastAsia" w:ascii="Times New Roman" w:hAnsi="Times New Roman" w:eastAsia="仿宋_GB2312" w:cs="Times New Roman"/>
          <w:sz w:val="32"/>
          <w:szCs w:val="32"/>
          <w:lang w:eastAsia="zh-CN"/>
        </w:rPr>
        <w:t>，</w:t>
      </w:r>
      <w:r>
        <w:rPr>
          <w:rFonts w:hint="eastAsia" w:ascii="TimesNewRoman" w:hAnsi="TimesNewRoman" w:eastAsia="仿宋_GB2312" w:cs="TimesNewRoman"/>
          <w:kern w:val="0"/>
          <w:sz w:val="32"/>
          <w:szCs w:val="32"/>
        </w:rPr>
        <w:t>原因主要是</w:t>
      </w:r>
      <w:r>
        <w:rPr>
          <w:rFonts w:hint="eastAsia" w:ascii="Times New Roman" w:hAnsi="Times New Roman" w:eastAsia="仿宋_GB2312" w:cs="Times New Roman"/>
          <w:color w:val="auto"/>
          <w:sz w:val="32"/>
          <w:szCs w:val="32"/>
          <w:lang w:eastAsia="zh-CN"/>
        </w:rPr>
        <w:t>我院按床位拨款，床位未变化故预算未变化。</w:t>
      </w:r>
    </w:p>
    <w:p w14:paraId="20D32FFD">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六、关于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年一般公共预算基本支出表的说明</w:t>
      </w:r>
    </w:p>
    <w:p w14:paraId="0AA668F7">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淮北市中医医院2023年一般公共预算基本支出614万元，其中，人员经费614万元，公用经费0万元。</w:t>
      </w:r>
    </w:p>
    <w:p w14:paraId="3068BCD3">
      <w:pPr>
        <w:ind w:firstLine="640" w:firstLineChars="200"/>
        <w:rPr>
          <w:rFonts w:ascii="Times New Roman" w:hAnsi="Times New Roman" w:eastAsia="楷体_GB2312" w:cs="Times New Roman"/>
          <w:sz w:val="32"/>
          <w:szCs w:val="32"/>
        </w:rPr>
      </w:pPr>
      <w:r>
        <w:rPr>
          <w:rFonts w:ascii="Times New Roman" w:hAnsi="Times New Roman" w:eastAsia="仿宋_GB2312" w:cs="Times New Roman"/>
          <w:sz w:val="32"/>
          <w:szCs w:val="32"/>
        </w:rPr>
        <w:t>人员经费主要包括:基本工资554万元、住房公积金60万元。</w:t>
      </w:r>
    </w:p>
    <w:p w14:paraId="5156DF37">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七、关于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年政府性基金预算支出表的说明</w:t>
      </w:r>
    </w:p>
    <w:p w14:paraId="62DE7FCE">
      <w:pPr>
        <w:pStyle w:val="4"/>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淮北市中医医院2023年没有政府性基金预算拨款收入，也没有使用政府性基金预算拨款安排的支出。</w:t>
      </w:r>
    </w:p>
    <w:p w14:paraId="10A7A479">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八、关于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年国有资本经营预算支出表的说明</w:t>
      </w:r>
    </w:p>
    <w:p w14:paraId="3EEFF781">
      <w:pPr>
        <w:pStyle w:val="4"/>
        <w:adjustRightInd w:val="0"/>
        <w:snapToGrid w:val="0"/>
        <w:spacing w:before="0" w:beforeAutospacing="0" w:after="0" w:afterAutospacing="0"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淮北市中医医院2023年没有国有资本经营预算拨款收入，也没有使用国有资本经营预算拨款安排的支出。</w:t>
      </w:r>
    </w:p>
    <w:p w14:paraId="75FDA5AB">
      <w:pPr>
        <w:ind w:firstLine="640" w:firstLineChars="200"/>
        <w:rPr>
          <w:rFonts w:ascii="Times New Roman" w:hAnsi="Times New Roman" w:eastAsia="仿宋_GB2312" w:cs="Times New Roman"/>
          <w:kern w:val="0"/>
          <w:sz w:val="32"/>
          <w:szCs w:val="32"/>
        </w:rPr>
      </w:pPr>
    </w:p>
    <w:p w14:paraId="203E649A">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九、关于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年项目支出表的说明</w:t>
      </w:r>
    </w:p>
    <w:p w14:paraId="09D0AADC">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淮北市中医医院</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年没有使用一般公共预算拨款、政府性基金预算拨款、国有资本经营预算拨款、财政专户管理资金和单位资金安排的项目支出。</w:t>
      </w:r>
    </w:p>
    <w:p w14:paraId="54F01789">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十、关于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年政府采购支出表的说明</w:t>
      </w:r>
    </w:p>
    <w:p w14:paraId="694180C7">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淮北市中医医院</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年没有使用一般公共预算拨款、政府性基金预算拨款、国有资本经营预算拨款、财政专户管理资金和单位资金安排的政府采购支出。</w:t>
      </w:r>
    </w:p>
    <w:p w14:paraId="3750F5F0">
      <w:pPr>
        <w:pStyle w:val="4"/>
        <w:adjustRightInd w:val="0"/>
        <w:snapToGrid w:val="0"/>
        <w:spacing w:line="560" w:lineRule="exact"/>
        <w:ind w:firstLine="627" w:firstLineChars="196"/>
        <w:rPr>
          <w:rFonts w:ascii="Times New Roman" w:hAnsi="Times New Roman" w:eastAsia="黑体" w:cs="Times New Roman"/>
          <w:bCs/>
          <w:sz w:val="32"/>
          <w:szCs w:val="32"/>
        </w:rPr>
      </w:pPr>
      <w:r>
        <w:rPr>
          <w:rFonts w:ascii="Times New Roman" w:hAnsi="TimesNewRoman" w:eastAsia="黑体" w:cs="Times New Roman"/>
          <w:bCs/>
          <w:sz w:val="32"/>
          <w:szCs w:val="32"/>
        </w:rPr>
        <w:t>十一、关于</w:t>
      </w:r>
      <w:r>
        <w:rPr>
          <w:rFonts w:ascii="Times New Roman" w:hAnsi="Times New Roman" w:eastAsia="黑体" w:cs="Times New Roman"/>
          <w:bCs/>
          <w:sz w:val="32"/>
          <w:szCs w:val="32"/>
        </w:rPr>
        <w:t>2023</w:t>
      </w:r>
      <w:r>
        <w:rPr>
          <w:rFonts w:ascii="Times New Roman" w:hAnsi="TimesNewRoman" w:eastAsia="黑体" w:cs="Times New Roman"/>
          <w:bCs/>
          <w:sz w:val="32"/>
          <w:szCs w:val="32"/>
        </w:rPr>
        <w:t>年政府购买服务支出表的说明</w:t>
      </w:r>
    </w:p>
    <w:p w14:paraId="102897C8">
      <w:p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淮北市中医医院</w:t>
      </w:r>
      <w:r>
        <w:rPr>
          <w:rFonts w:ascii="Times New Roman" w:hAnsi="Times New Roman" w:eastAsia="仿宋_GB2312" w:cs="Times New Roman"/>
          <w:kern w:val="0"/>
          <w:sz w:val="32"/>
          <w:szCs w:val="32"/>
        </w:rPr>
        <w:t>2023</w:t>
      </w:r>
      <w:r>
        <w:rPr>
          <w:rFonts w:ascii="Times New Roman" w:hAnsi="TimesNewRoman" w:eastAsia="仿宋_GB2312" w:cs="Times New Roman"/>
          <w:kern w:val="0"/>
          <w:sz w:val="32"/>
          <w:szCs w:val="32"/>
        </w:rPr>
        <w:t>年没有安排政府购买服务支出。</w:t>
      </w:r>
    </w:p>
    <w:p w14:paraId="1597B7F4">
      <w:pPr>
        <w:pStyle w:val="4"/>
        <w:adjustRightInd w:val="0"/>
        <w:snapToGrid w:val="0"/>
        <w:spacing w:line="560" w:lineRule="exact"/>
        <w:ind w:firstLine="627" w:firstLineChars="196"/>
        <w:rPr>
          <w:rFonts w:ascii="Times New Roman" w:hAnsi="TimesNewRoman" w:eastAsia="黑体" w:cs="Times New Roman"/>
          <w:bCs/>
          <w:sz w:val="32"/>
          <w:szCs w:val="32"/>
        </w:rPr>
      </w:pPr>
      <w:r>
        <w:rPr>
          <w:rFonts w:ascii="Times New Roman" w:hAnsi="TimesNewRoman" w:eastAsia="黑体" w:cs="Times New Roman"/>
          <w:bCs/>
          <w:sz w:val="32"/>
          <w:szCs w:val="32"/>
        </w:rPr>
        <w:t>十二、其他重要事项情况说明</w:t>
      </w:r>
    </w:p>
    <w:p w14:paraId="6224E8BD">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1731DB2B">
      <w:pPr>
        <w:ind w:firstLine="640" w:firstLineChars="200"/>
        <w:rPr>
          <w:rFonts w:hint="default" w:ascii="Times New Roman" w:hAnsi="TimesNewRoman" w:eastAsia="仿宋_GB2312" w:cs="Times New Roman"/>
          <w:kern w:val="0"/>
          <w:sz w:val="32"/>
          <w:szCs w:val="32"/>
          <w:lang w:val="en-US" w:eastAsia="zh-CN"/>
        </w:rPr>
      </w:pPr>
      <w:r>
        <w:rPr>
          <w:rFonts w:hint="eastAsia" w:ascii="Times New Roman" w:hAnsi="TimesNewRoman" w:eastAsia="仿宋_GB2312" w:cs="Times New Roman"/>
          <w:kern w:val="0"/>
          <w:sz w:val="32"/>
          <w:szCs w:val="32"/>
          <w:lang w:val="en-US" w:eastAsia="zh-CN"/>
        </w:rPr>
        <w:t>淮北市中医医院2023年预算未列支项目支出。</w:t>
      </w:r>
    </w:p>
    <w:p w14:paraId="003A1AB7">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039552D3">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中医医院</w:t>
      </w:r>
      <w:r>
        <w:rPr>
          <w:rFonts w:hint="eastAsia" w:ascii="TimesNewRoman" w:hAnsi="TimesNewRoman" w:eastAsia="仿宋_GB2312" w:cs="TimesNewRoman"/>
          <w:kern w:val="0"/>
          <w:sz w:val="32"/>
          <w:szCs w:val="32"/>
        </w:rPr>
        <w:t>2023年机关运行经费财政拨款预算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万元，比2022年预算增加</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万元，增长</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lang w:eastAsia="zh-CN"/>
        </w:rPr>
        <w:t>我院没有使用一般公共预算资金的机关运行费</w:t>
      </w:r>
      <w:r>
        <w:rPr>
          <w:rFonts w:hint="eastAsia" w:ascii="TimesNewRoman" w:hAnsi="TimesNewRoman" w:eastAsia="仿宋_GB2312" w:cs="TimesNewRoman"/>
          <w:kern w:val="0"/>
          <w:sz w:val="32"/>
          <w:szCs w:val="32"/>
        </w:rPr>
        <w:t>。</w:t>
      </w:r>
    </w:p>
    <w:p w14:paraId="64889521">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5272CED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w:t>
      </w:r>
      <w:r>
        <w:rPr>
          <w:rFonts w:hint="eastAsia" w:ascii="TimesNewRoman" w:hAnsi="TimesNewRoman" w:eastAsia="仿宋_GB2312" w:cs="TimesNewRoman"/>
          <w:kern w:val="0"/>
          <w:sz w:val="32"/>
          <w:szCs w:val="32"/>
          <w:lang w:eastAsia="zh-CN"/>
        </w:rPr>
        <w:t>中医医院</w:t>
      </w:r>
      <w:r>
        <w:rPr>
          <w:rFonts w:hint="eastAsia" w:ascii="TimesNewRoman" w:hAnsi="TimesNewRoman" w:eastAsia="仿宋_GB2312" w:cs="TimesNewRoman"/>
          <w:kern w:val="0"/>
          <w:sz w:val="32"/>
          <w:szCs w:val="32"/>
        </w:rPr>
        <w:t>2023年政府采购预算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万元。其中：政府采购货物预算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万元，政府采购工程预算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万元，政府采购服务预算</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55D0F64C">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7AC7BD08">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w:t>
      </w:r>
      <w:r>
        <w:rPr>
          <w:rFonts w:hint="eastAsia" w:ascii="TimesNewRoman" w:hAnsi="TimesNewRoman" w:eastAsia="仿宋_GB2312" w:cs="TimesNewRoman"/>
          <w:kern w:val="0"/>
          <w:sz w:val="32"/>
          <w:szCs w:val="32"/>
          <w:lang w:val="en-US" w:eastAsia="zh-CN"/>
        </w:rPr>
        <w:t>3</w:t>
      </w:r>
      <w:r>
        <w:rPr>
          <w:rFonts w:hint="eastAsia" w:ascii="TimesNewRoman" w:hAnsi="TimesNewRoman" w:eastAsia="仿宋_GB2312" w:cs="TimesNewRoman"/>
          <w:kern w:val="0"/>
          <w:sz w:val="32"/>
          <w:szCs w:val="32"/>
        </w:rPr>
        <w:t>年12月31日，淮北市</w:t>
      </w:r>
      <w:r>
        <w:rPr>
          <w:rFonts w:hint="eastAsia" w:ascii="TimesNewRoman" w:hAnsi="TimesNewRoman" w:eastAsia="仿宋_GB2312" w:cs="TimesNewRoman"/>
          <w:kern w:val="0"/>
          <w:sz w:val="32"/>
          <w:szCs w:val="32"/>
          <w:lang w:eastAsia="zh-CN"/>
        </w:rPr>
        <w:t>中医医院</w:t>
      </w:r>
      <w:r>
        <w:rPr>
          <w:rFonts w:hint="eastAsia" w:ascii="TimesNewRoman" w:hAnsi="TimesNewRoman" w:eastAsia="仿宋_GB2312" w:cs="TimesNewRoman"/>
          <w:kern w:val="0"/>
          <w:sz w:val="32"/>
          <w:szCs w:val="32"/>
        </w:rPr>
        <w:t>共有车辆</w:t>
      </w:r>
      <w:r>
        <w:rPr>
          <w:rFonts w:hint="eastAsia" w:ascii="TimesNewRoman" w:hAnsi="TimesNewRoman" w:eastAsia="仿宋_GB2312" w:cs="TimesNewRoman"/>
          <w:kern w:val="0"/>
          <w:sz w:val="32"/>
          <w:szCs w:val="32"/>
          <w:lang w:val="en-US" w:eastAsia="zh-CN"/>
        </w:rPr>
        <w:t>6</w:t>
      </w:r>
      <w:r>
        <w:rPr>
          <w:rFonts w:hint="eastAsia" w:ascii="TimesNewRoman" w:hAnsi="TimesNewRoman" w:eastAsia="仿宋_GB2312" w:cs="TimesNewRoman"/>
          <w:kern w:val="0"/>
          <w:sz w:val="32"/>
          <w:szCs w:val="32"/>
        </w:rPr>
        <w:t>辆，其中：特种专业技术用车</w:t>
      </w:r>
      <w:r>
        <w:rPr>
          <w:rFonts w:hint="eastAsia" w:ascii="TimesNewRoman" w:hAnsi="TimesNewRoman" w:eastAsia="仿宋_GB2312" w:cs="TimesNewRoman"/>
          <w:kern w:val="0"/>
          <w:sz w:val="32"/>
          <w:szCs w:val="32"/>
          <w:lang w:val="en-US" w:eastAsia="zh-CN"/>
        </w:rPr>
        <w:t>2</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4</w:t>
      </w:r>
      <w:r>
        <w:rPr>
          <w:rFonts w:hint="eastAsia" w:ascii="TimesNewRoman" w:hAnsi="TimesNewRoman" w:eastAsia="仿宋_GB2312" w:cs="TimesNewRoman"/>
          <w:kern w:val="0"/>
          <w:sz w:val="32"/>
          <w:szCs w:val="32"/>
        </w:rPr>
        <w:t>辆。单价50万元以上的通用设备</w:t>
      </w:r>
      <w:r>
        <w:rPr>
          <w:rFonts w:hint="eastAsia" w:ascii="TimesNewRoman" w:hAnsi="TimesNewRoman" w:eastAsia="仿宋_GB2312" w:cs="TimesNewRoman"/>
          <w:color w:val="auto"/>
          <w:kern w:val="0"/>
          <w:sz w:val="32"/>
          <w:szCs w:val="32"/>
          <w:lang w:val="en-US" w:eastAsia="zh-CN"/>
        </w:rPr>
        <w:t>0</w:t>
      </w:r>
      <w:r>
        <w:rPr>
          <w:rFonts w:hint="eastAsia" w:ascii="TimesNewRoman" w:hAnsi="TimesNewRoman" w:eastAsia="仿宋_GB2312" w:cs="TimesNewRoman"/>
          <w:kern w:val="0"/>
          <w:sz w:val="32"/>
          <w:szCs w:val="32"/>
        </w:rPr>
        <w:t>台（套），单价100万元以上的专用设备</w:t>
      </w:r>
      <w:r>
        <w:rPr>
          <w:rFonts w:hint="eastAsia" w:ascii="TimesNewRoman" w:hAnsi="TimesNewRoman" w:eastAsia="仿宋_GB2312" w:cs="TimesNewRoman"/>
          <w:kern w:val="0"/>
          <w:sz w:val="32"/>
          <w:szCs w:val="32"/>
          <w:lang w:val="en-US" w:eastAsia="zh-CN"/>
        </w:rPr>
        <w:t>9</w:t>
      </w:r>
      <w:r>
        <w:rPr>
          <w:rFonts w:hint="eastAsia" w:ascii="TimesNewRoman" w:hAnsi="TimesNewRoman" w:eastAsia="仿宋_GB2312" w:cs="TimesNewRoman"/>
          <w:kern w:val="0"/>
          <w:sz w:val="32"/>
          <w:szCs w:val="32"/>
        </w:rPr>
        <w:t>台（套）。</w:t>
      </w:r>
    </w:p>
    <w:p w14:paraId="1C1DBDE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2023年部门（单位）预算安排购置公务用车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万元，其中：主要领导干部用车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辆、机要通信用车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辆、应急保障用车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辆、执法执勤用车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辆、特种专业技术用车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辆、离退休干部用车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辆、其他用车</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辆（只列报车辆不为0的车型）；安排购置单价50万元以上的通用设备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万元；安排购置单价100万元以上专用设备</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台（套），购置费</w:t>
      </w:r>
      <w:r>
        <w:rPr>
          <w:rFonts w:hint="eastAsia" w:ascii="TimesNewRoman" w:hAnsi="TimesNewRoman" w:eastAsia="仿宋_GB2312" w:cs="TimesNewRoman"/>
          <w:kern w:val="0"/>
          <w:sz w:val="32"/>
          <w:szCs w:val="32"/>
          <w:lang w:val="en-US" w:eastAsia="zh-CN"/>
        </w:rPr>
        <w:t>0</w:t>
      </w:r>
      <w:r>
        <w:rPr>
          <w:rFonts w:hint="eastAsia" w:ascii="TimesNewRoman" w:hAnsi="TimesNewRoman" w:eastAsia="仿宋_GB2312" w:cs="TimesNewRoman"/>
          <w:kern w:val="0"/>
          <w:sz w:val="32"/>
          <w:szCs w:val="32"/>
        </w:rPr>
        <w:t>万元。</w:t>
      </w:r>
    </w:p>
    <w:p w14:paraId="6DD91167">
      <w:pPr>
        <w:adjustRightInd w:val="0"/>
        <w:snapToGrid w:val="0"/>
        <w:spacing w:line="580" w:lineRule="exact"/>
        <w:ind w:firstLine="643" w:firstLineChars="200"/>
        <w:rPr>
          <w:rFonts w:hint="eastAsia"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3ED0F10A">
      <w:pPr>
        <w:keepNext w:val="0"/>
        <w:keepLines w:val="0"/>
        <w:pageBreakBefore w:val="0"/>
        <w:kinsoku/>
        <w:wordWrap/>
        <w:overflowPunct/>
        <w:topLinePunct w:val="0"/>
        <w:autoSpaceDE/>
        <w:autoSpaceDN/>
        <w:bidi w:val="0"/>
        <w:adjustRightInd w:val="0"/>
        <w:snapToGrid w:val="0"/>
        <w:spacing w:beforeAutospacing="0" w:afterAutospacing="0" w:line="540" w:lineRule="exact"/>
        <w:ind w:firstLine="640" w:firstLineChars="200"/>
        <w:textAlignment w:val="auto"/>
        <w:rPr>
          <w:rFonts w:hint="eastAsia" w:ascii="仿宋_GB2312" w:hAnsi="楷体" w:eastAsia="仿宋_GB2312"/>
          <w:bCs/>
          <w:sz w:val="32"/>
          <w:szCs w:val="32"/>
        </w:rPr>
      </w:pPr>
      <w:r>
        <w:rPr>
          <w:rFonts w:hint="eastAsia" w:ascii="仿宋_GB2312" w:hAnsi="楷体" w:eastAsia="仿宋_GB2312"/>
          <w:bCs/>
          <w:sz w:val="32"/>
          <w:szCs w:val="32"/>
        </w:rPr>
        <w:t>淮北市</w:t>
      </w:r>
      <w:r>
        <w:rPr>
          <w:rFonts w:hint="eastAsia" w:ascii="仿宋_GB2312" w:hAnsi="楷体" w:eastAsia="仿宋_GB2312"/>
          <w:bCs/>
          <w:sz w:val="32"/>
          <w:szCs w:val="32"/>
          <w:lang w:val="en-US" w:eastAsia="zh-CN"/>
        </w:rPr>
        <w:t>中医</w:t>
      </w:r>
      <w:r>
        <w:rPr>
          <w:rFonts w:hint="eastAsia" w:ascii="仿宋_GB2312" w:hAnsi="楷体" w:eastAsia="仿宋_GB2312"/>
          <w:bCs/>
          <w:sz w:val="32"/>
          <w:szCs w:val="32"/>
        </w:rPr>
        <w:t>医院</w:t>
      </w:r>
      <w:r>
        <w:rPr>
          <w:rFonts w:hint="eastAsia" w:ascii="仿宋_GB2312" w:hAnsi="楷体" w:eastAsia="仿宋_GB2312"/>
          <w:bCs/>
          <w:sz w:val="32"/>
          <w:szCs w:val="32"/>
          <w:lang w:eastAsia="zh-CN"/>
        </w:rPr>
        <w:t>2023</w:t>
      </w:r>
      <w:r>
        <w:rPr>
          <w:rFonts w:hint="eastAsia" w:ascii="仿宋_GB2312" w:hAnsi="楷体" w:eastAsia="仿宋_GB2312"/>
          <w:bCs/>
          <w:sz w:val="32"/>
          <w:szCs w:val="32"/>
        </w:rPr>
        <w:t>年度无纳入绩效考评项目。</w:t>
      </w:r>
    </w:p>
    <w:p w14:paraId="4527FF8E">
      <w:pPr>
        <w:ind w:firstLine="640" w:firstLineChars="200"/>
        <w:rPr>
          <w:rFonts w:hint="eastAsia" w:ascii="TimesNewRoman" w:hAnsi="TimesNewRoman" w:eastAsia="仿宋_GB2312" w:cs="TimesNewRoman"/>
          <w:kern w:val="0"/>
          <w:sz w:val="32"/>
          <w:szCs w:val="32"/>
        </w:rPr>
      </w:pPr>
    </w:p>
    <w:p w14:paraId="40FEB581">
      <w:pPr>
        <w:rPr>
          <w:rFonts w:ascii="Times New Roman" w:hAnsi="Times New Roman" w:cs="Times New Roman"/>
        </w:rPr>
      </w:pPr>
    </w:p>
    <w:p w14:paraId="356743D8">
      <w:pPr>
        <w:pStyle w:val="4"/>
        <w:adjustRightInd w:val="0"/>
        <w:snapToGrid w:val="0"/>
        <w:spacing w:line="560" w:lineRule="exact"/>
        <w:jc w:val="center"/>
        <w:rPr>
          <w:rFonts w:ascii="Times New Roman" w:hAnsi="Times New Roman" w:eastAsia="黑体" w:cs="Times New Roman"/>
          <w:bCs/>
          <w:sz w:val="36"/>
          <w:szCs w:val="36"/>
        </w:rPr>
      </w:pPr>
    </w:p>
    <w:p w14:paraId="68609B38">
      <w:pPr>
        <w:pStyle w:val="4"/>
        <w:adjustRightInd w:val="0"/>
        <w:snapToGrid w:val="0"/>
        <w:spacing w:line="560" w:lineRule="exact"/>
        <w:jc w:val="center"/>
        <w:rPr>
          <w:rFonts w:ascii="Times New Roman" w:hAnsi="Times New Roman" w:eastAsia="黑体" w:cs="Times New Roman"/>
          <w:bCs/>
          <w:sz w:val="36"/>
          <w:szCs w:val="36"/>
        </w:rPr>
      </w:pPr>
      <w:r>
        <w:rPr>
          <w:rFonts w:ascii="Times New Roman" w:hAnsi="TimesNewRoman" w:eastAsia="黑体" w:cs="Times New Roman"/>
          <w:bCs/>
          <w:sz w:val="36"/>
          <w:szCs w:val="36"/>
        </w:rPr>
        <w:t>第四部分</w:t>
      </w:r>
      <w:r>
        <w:rPr>
          <w:rFonts w:ascii="Times New Roman" w:hAnsi="Times New Roman" w:eastAsia="黑体" w:cs="Times New Roman"/>
          <w:bCs/>
          <w:sz w:val="36"/>
          <w:szCs w:val="36"/>
        </w:rPr>
        <w:t xml:space="preserve"> </w:t>
      </w:r>
      <w:r>
        <w:rPr>
          <w:rFonts w:ascii="Times New Roman" w:hAnsi="TimesNewRoman" w:eastAsia="黑体" w:cs="Times New Roman"/>
          <w:bCs/>
          <w:sz w:val="36"/>
          <w:szCs w:val="36"/>
        </w:rPr>
        <w:t>名词解释</w:t>
      </w:r>
    </w:p>
    <w:p w14:paraId="16236F23">
      <w:pPr>
        <w:rPr>
          <w:rFonts w:ascii="Times New Roman" w:hAnsi="Times New Roman" w:cs="Times New Roman"/>
        </w:rPr>
      </w:pPr>
    </w:p>
    <w:p w14:paraId="426F7533">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一、财政拨款收入：</w:t>
      </w:r>
      <w:r>
        <w:rPr>
          <w:rFonts w:ascii="Times New Roman" w:hAnsi="TimesNewRoman" w:eastAsia="仿宋_GB2312" w:cs="Times New Roman"/>
          <w:sz w:val="32"/>
          <w:szCs w:val="32"/>
        </w:rPr>
        <w:t>指部门或单位从同级财政部门取得的财政预算资金。</w:t>
      </w:r>
    </w:p>
    <w:p w14:paraId="4DEBFB50">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二、事业收入：</w:t>
      </w:r>
      <w:r>
        <w:rPr>
          <w:rFonts w:ascii="Times New Roman" w:hAnsi="TimesNewRoman" w:eastAsia="仿宋_GB2312" w:cs="Times New Roman"/>
          <w:sz w:val="32"/>
          <w:szCs w:val="32"/>
        </w:rPr>
        <w:t>指事业单位开展专业业务活动及辅助活动所取得的收入。</w:t>
      </w:r>
    </w:p>
    <w:p w14:paraId="68A34749">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三、财政专户管理资金：</w:t>
      </w:r>
      <w:r>
        <w:rPr>
          <w:rFonts w:ascii="Times New Roman" w:hAnsi="TimesNewRoman" w:eastAsia="仿宋_GB2312" w:cs="Times New Roman"/>
          <w:sz w:val="32"/>
          <w:szCs w:val="32"/>
        </w:rPr>
        <w:t>指按照非税收入管理相关规定，纳入财政专户管理的教育收费等。</w:t>
      </w:r>
    </w:p>
    <w:p w14:paraId="1E834455">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四、事业单位经营收入：</w:t>
      </w:r>
      <w:r>
        <w:rPr>
          <w:rFonts w:ascii="Times New Roman" w:hAnsi="TimesNewRoman" w:eastAsia="仿宋_GB2312" w:cs="Times New Roman"/>
          <w:sz w:val="32"/>
          <w:szCs w:val="32"/>
        </w:rPr>
        <w:t>指事业单位在专业业务活动及其辅助活动之外开展非独立核算经营活动取得的收入。</w:t>
      </w:r>
    </w:p>
    <w:p w14:paraId="2196FDFB">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五、附属单位上缴收入：</w:t>
      </w:r>
      <w:r>
        <w:rPr>
          <w:rFonts w:ascii="Times New Roman" w:hAnsi="TimesNewRoman" w:eastAsia="仿宋_GB2312" w:cs="Times New Roman"/>
          <w:sz w:val="32"/>
          <w:szCs w:val="32"/>
        </w:rPr>
        <w:t>本单位所属下级单位上缴给本单位的全部收入。</w:t>
      </w:r>
    </w:p>
    <w:p w14:paraId="40C5A892">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六、上年结转：</w:t>
      </w:r>
      <w:r>
        <w:rPr>
          <w:rFonts w:ascii="Times New Roman" w:hAnsi="TimesNewRoman" w:eastAsia="仿宋_GB2312" w:cs="Times New Roman"/>
          <w:sz w:val="32"/>
          <w:szCs w:val="32"/>
        </w:rPr>
        <w:t>指以前年度安排、结转到本年仍按原用途继续使用的资金。</w:t>
      </w:r>
    </w:p>
    <w:p w14:paraId="4FBF9C5F">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七、结转下年：</w:t>
      </w:r>
      <w:r>
        <w:rPr>
          <w:rFonts w:ascii="Times New Roman" w:hAnsi="TimesNewRoman" w:eastAsia="仿宋_GB2312" w:cs="Times New Roman"/>
          <w:sz w:val="32"/>
          <w:szCs w:val="32"/>
        </w:rPr>
        <w:t>指以前年度预算安排、因客观条件发生变化无法按原计划实施，需以后年度按原用途继续使用的资金。</w:t>
      </w:r>
    </w:p>
    <w:p w14:paraId="377876A8">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八、基本支出：</w:t>
      </w:r>
      <w:r>
        <w:rPr>
          <w:rFonts w:ascii="Times New Roman" w:hAnsi="TimesNewRoman" w:eastAsia="仿宋_GB2312" w:cs="Times New Roman"/>
          <w:sz w:val="32"/>
          <w:szCs w:val="32"/>
        </w:rPr>
        <w:t>指为保障机构正常运转、完成日常工作任务而发生的人员支出和公用支出。</w:t>
      </w:r>
    </w:p>
    <w:p w14:paraId="5A0A8FBD">
      <w:pPr>
        <w:pStyle w:val="4"/>
        <w:adjustRightInd w:val="0"/>
        <w:snapToGrid w:val="0"/>
        <w:spacing w:line="560" w:lineRule="exact"/>
        <w:ind w:firstLine="630" w:firstLineChars="196"/>
        <w:rPr>
          <w:rFonts w:ascii="Times New Roman" w:hAnsi="Times New Roman" w:eastAsia="仿宋_GB2312" w:cs="Times New Roman"/>
          <w:sz w:val="32"/>
          <w:szCs w:val="32"/>
        </w:rPr>
      </w:pPr>
      <w:r>
        <w:rPr>
          <w:rFonts w:ascii="Times New Roman" w:hAnsi="TimesNewRoman" w:eastAsia="仿宋_GB2312" w:cs="Times New Roman"/>
          <w:b/>
          <w:sz w:val="32"/>
          <w:szCs w:val="32"/>
        </w:rPr>
        <w:t>九、项目支出：</w:t>
      </w:r>
      <w:r>
        <w:rPr>
          <w:rFonts w:ascii="Times New Roman" w:hAnsi="TimesNewRoman" w:eastAsia="仿宋_GB2312" w:cs="Times New Roman"/>
          <w:sz w:val="32"/>
          <w:szCs w:val="32"/>
        </w:rPr>
        <w:t>指在除基本支出之外的支出，主要用于完成特定的工作任务和事业发展目标。</w:t>
      </w:r>
    </w:p>
    <w:p w14:paraId="780268F8">
      <w:pPr>
        <w:rPr>
          <w:rFonts w:ascii="Times New Roman" w:hAnsi="Times New Roman" w:cs="Times New Roman"/>
        </w:rPr>
      </w:pPr>
      <w:r>
        <w:rPr>
          <w:rFonts w:ascii="Times New Roman" w:hAnsi="TimesNewRoman" w:eastAsia="仿宋_GB2312" w:cs="Times New Roman"/>
          <w:b/>
          <w:sz w:val="32"/>
          <w:szCs w:val="32"/>
        </w:rPr>
        <w:t>十、机关运行经费</w:t>
      </w:r>
      <w:r>
        <w:rPr>
          <w:rFonts w:ascii="Times New Roman" w:hAnsi="Times New Roman" w:eastAsia="仿宋_GB2312" w:cs="Times New Roman"/>
          <w:b/>
          <w:sz w:val="32"/>
          <w:szCs w:val="32"/>
        </w:rPr>
        <w:t xml:space="preserve">: </w:t>
      </w:r>
      <w:r>
        <w:rPr>
          <w:rFonts w:ascii="Times New Roman" w:hAnsi="TimesNewRoman" w:eastAsia="仿宋_GB2312" w:cs="Times New 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bookmarkStart w:id="0" w:name="_GoBack"/>
      <w:bookmarkEnd w:id="0"/>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Lucida Console"/>
    <w:panose1 w:val="00000000000000000000"/>
    <w:charset w:val="00"/>
    <w:family w:val="auto"/>
    <w:pitch w:val="default"/>
    <w:sig w:usb0="00000000" w:usb1="00000000" w:usb2="00000029" w:usb3="00000000" w:csb0="6000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Lucida Console">
    <w:panose1 w:val="020B0609040504020204"/>
    <w:charset w:val="00"/>
    <w:family w:val="auto"/>
    <w:pitch w:val="default"/>
    <w:sig w:usb0="8000028F" w:usb1="00001800" w:usb2="00000000" w:usb3="00000000" w:csb0="0000001F" w:csb1="D7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57291"/>
    <w:multiLevelType w:val="singleLevel"/>
    <w:tmpl w:val="B7E57291"/>
    <w:lvl w:ilvl="0" w:tentative="0">
      <w:start w:val="1"/>
      <w:numFmt w:val="chineseCounting"/>
      <w:suff w:val="nothing"/>
      <w:lvlText w:val="（%1）"/>
      <w:lvlJc w:val="left"/>
      <w:pPr>
        <w:ind w:left="640" w:firstLine="0"/>
      </w:pPr>
      <w:rPr>
        <w:rFonts w:hint="eastAsia"/>
      </w:rPr>
    </w:lvl>
  </w:abstractNum>
  <w:abstractNum w:abstractNumId="1">
    <w:nsid w:val="E022CD5C"/>
    <w:multiLevelType w:val="singleLevel"/>
    <w:tmpl w:val="E022CD5C"/>
    <w:lvl w:ilvl="0" w:tentative="0">
      <w:start w:val="1"/>
      <w:numFmt w:val="chineseCounting"/>
      <w:suff w:val="nothing"/>
      <w:lvlText w:val="（%1）"/>
      <w:lvlJc w:val="left"/>
      <w:rPr>
        <w:rFonts w:hint="eastAsia"/>
      </w:rPr>
    </w:lvl>
  </w:abstractNum>
  <w:abstractNum w:abstractNumId="2">
    <w:nsid w:val="F87F1536"/>
    <w:multiLevelType w:val="singleLevel"/>
    <w:tmpl w:val="F87F153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jYzA0NzdjODdiMjEwZjgyZGY3ZTQxOWZmYzhiNDYifQ=="/>
  </w:docVars>
  <w:rsids>
    <w:rsidRoot w:val="00E907C4"/>
    <w:rsid w:val="000E3FC3"/>
    <w:rsid w:val="0057562B"/>
    <w:rsid w:val="006546AF"/>
    <w:rsid w:val="00727BD9"/>
    <w:rsid w:val="008F6D1A"/>
    <w:rsid w:val="009A3CA3"/>
    <w:rsid w:val="00AE3242"/>
    <w:rsid w:val="00BF03AA"/>
    <w:rsid w:val="00DA4411"/>
    <w:rsid w:val="00E907C4"/>
    <w:rsid w:val="00EC7755"/>
    <w:rsid w:val="00F07A9B"/>
    <w:rsid w:val="18F94D56"/>
    <w:rsid w:val="1D4C6427"/>
    <w:rsid w:val="22DA0969"/>
    <w:rsid w:val="24AC7520"/>
    <w:rsid w:val="2B2038BD"/>
    <w:rsid w:val="2D1859F1"/>
    <w:rsid w:val="2F1B2B13"/>
    <w:rsid w:val="31254B89"/>
    <w:rsid w:val="315D07D0"/>
    <w:rsid w:val="3CB13E1A"/>
    <w:rsid w:val="3D8B6CF1"/>
    <w:rsid w:val="44555790"/>
    <w:rsid w:val="44E75E90"/>
    <w:rsid w:val="45575091"/>
    <w:rsid w:val="49EA51B8"/>
    <w:rsid w:val="4D8D1626"/>
    <w:rsid w:val="544C09AF"/>
    <w:rsid w:val="54F41091"/>
    <w:rsid w:val="57B84119"/>
    <w:rsid w:val="584C26A3"/>
    <w:rsid w:val="59A7217E"/>
    <w:rsid w:val="651E6503"/>
    <w:rsid w:val="65812AAC"/>
    <w:rsid w:val="67EB65BC"/>
    <w:rsid w:val="6BDF55A2"/>
    <w:rsid w:val="71EC5D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rFonts w:asciiTheme="minorHAnsi" w:hAnsiTheme="minorHAnsi" w:eastAsiaTheme="minorEastAsia" w:cstheme="minorBidi"/>
      <w:kern w:val="2"/>
      <w:sz w:val="18"/>
      <w:szCs w:val="18"/>
    </w:rPr>
  </w:style>
  <w:style w:type="character" w:customStyle="1" w:styleId="8">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3713</Words>
  <Characters>4022</Characters>
  <Lines>24</Lines>
  <Paragraphs>6</Paragraphs>
  <TotalTime>0</TotalTime>
  <ScaleCrop>false</ScaleCrop>
  <LinksUpToDate>false</LinksUpToDate>
  <CharactersWithSpaces>4038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核算中心-朱兆琪</cp:lastModifiedBy>
  <dcterms:modified xsi:type="dcterms:W3CDTF">2024-09-26T00:28:08Z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96886857B6934150A761A19A36042736_12</vt:lpwstr>
  </property>
</Properties>
</file>