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6" w:rsidRDefault="00EB03D6" w:rsidP="00EB03D6">
      <w:pPr>
        <w:pStyle w:val="a0"/>
        <w:spacing w:before="203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2年水质监管检测项目支出</w:t>
      </w:r>
    </w:p>
    <w:p w:rsidR="00EB03D6" w:rsidRDefault="00EB03D6" w:rsidP="00EB03D6">
      <w:pPr>
        <w:pStyle w:val="a0"/>
        <w:spacing w:before="203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绩效评价报告</w:t>
      </w:r>
    </w:p>
    <w:p w:rsidR="00EB03D6" w:rsidRDefault="00EB03D6" w:rsidP="00EB03D6">
      <w:pPr>
        <w:pStyle w:val="a0"/>
        <w:spacing w:before="4"/>
        <w:rPr>
          <w:sz w:val="19"/>
        </w:rPr>
      </w:pPr>
    </w:p>
    <w:p w:rsidR="00EB03D6" w:rsidRDefault="00EB03D6" w:rsidP="00EB03D6">
      <w:pPr>
        <w:pStyle w:val="a0"/>
        <w:ind w:left="751"/>
        <w:rPr>
          <w:rFonts w:ascii="黑体" w:eastAsia="黑体"/>
        </w:rPr>
      </w:pPr>
      <w:r>
        <w:rPr>
          <w:rFonts w:ascii="黑体" w:eastAsia="黑体" w:hint="eastAsia"/>
        </w:rPr>
        <w:t>一、项目基本情况</w:t>
      </w:r>
    </w:p>
    <w:p w:rsidR="00EB03D6" w:rsidRDefault="00EB03D6" w:rsidP="00EB03D6">
      <w:pPr>
        <w:spacing w:line="600" w:lineRule="exact"/>
        <w:ind w:firstLineChars="200" w:firstLine="641"/>
        <w:outlineLvl w:val="0"/>
        <w:rPr>
          <w:rFonts w:ascii="楷体_GB2312" w:eastAsia="楷体_GB2312" w:hAnsi="仿宋_GB2312" w:cs="仿宋_GB2312"/>
          <w:b/>
          <w:spacing w:val="4"/>
          <w:w w:val="95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pacing w:val="7"/>
          <w:w w:val="95"/>
          <w:sz w:val="32"/>
          <w:szCs w:val="32"/>
        </w:rPr>
        <w:t>（一</w:t>
      </w:r>
      <w:r>
        <w:rPr>
          <w:rFonts w:ascii="楷体_GB2312" w:eastAsia="楷体_GB2312" w:hAnsi="仿宋_GB2312" w:cs="仿宋_GB2312" w:hint="eastAsia"/>
          <w:b/>
          <w:spacing w:val="5"/>
          <w:w w:val="95"/>
          <w:sz w:val="32"/>
          <w:szCs w:val="32"/>
        </w:rPr>
        <w:t>）</w:t>
      </w:r>
      <w:r>
        <w:rPr>
          <w:rFonts w:ascii="楷体_GB2312" w:eastAsia="楷体_GB2312" w:hAnsi="仿宋_GB2312" w:cs="仿宋_GB2312" w:hint="eastAsia"/>
          <w:b/>
          <w:spacing w:val="4"/>
          <w:w w:val="95"/>
          <w:sz w:val="32"/>
          <w:szCs w:val="32"/>
        </w:rPr>
        <w:t>项目概况。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生活饮用水安全直接关系到我市广大人民群众身体健康和生命安全，关系到社会的和谐稳定。为了保障我市生活饮用水卫生安全，对生活饮用水水质进行监管检测，确保居民用水安全，尤其是农村地区用水安全，经支队领导班子会议研究决定后申请2022年水质监管检测项目。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2022年度农村集中式供水监管工作经费总额 69.35 万元，主要用于我市三区范围内的农村、乡镇集中式供水的日常监督检测和宣传培训工作。全年实际执行69.29万元，执行率99.9%。</w:t>
      </w:r>
    </w:p>
    <w:p w:rsidR="00EB03D6" w:rsidRDefault="00EB03D6" w:rsidP="00EB03D6">
      <w:pPr>
        <w:spacing w:line="600" w:lineRule="exact"/>
        <w:ind w:firstLineChars="200" w:firstLine="641"/>
        <w:outlineLvl w:val="0"/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pacing w:val="7"/>
          <w:w w:val="95"/>
          <w:sz w:val="32"/>
          <w:szCs w:val="32"/>
        </w:rPr>
        <w:t>（二）项目绩效目标。</w:t>
      </w:r>
    </w:p>
    <w:p w:rsidR="00EB03D6" w:rsidRDefault="00EB03D6" w:rsidP="00EB03D6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包括总体目标和阶段性目标：</w:t>
      </w:r>
      <w:r>
        <w:rPr>
          <w:rFonts w:ascii="仿宋_GB2312" w:eastAsia="仿宋_GB2312" w:hAnsi="Times New Roman" w:hint="eastAsia"/>
          <w:sz w:val="32"/>
          <w:szCs w:val="32"/>
        </w:rPr>
        <w:t>通过开展饮用水卫生监督监测工作，系统掌握和分析饮用水卫生安全状况，为科学决策和采取针对性措施保障饮用水卫生安全提供支持，开展对供水单位管理人员以及各区卫生监督协管人员的培训和宣传，提高企业自身管理水平和监管人员的督查指导能力，确保供水安全。</w:t>
      </w:r>
    </w:p>
    <w:p w:rsidR="00EB03D6" w:rsidRDefault="00EB03D6" w:rsidP="00EB03D6">
      <w:pPr>
        <w:pStyle w:val="a0"/>
        <w:spacing w:before="149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二、绩效评价工作开展情况</w:t>
      </w:r>
    </w:p>
    <w:p w:rsidR="00EB03D6" w:rsidRDefault="00EB03D6" w:rsidP="00EB03D6">
      <w:pPr>
        <w:spacing w:line="600" w:lineRule="exact"/>
        <w:ind w:firstLineChars="200" w:firstLine="641"/>
        <w:outlineLvl w:val="0"/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pacing w:val="7"/>
          <w:w w:val="95"/>
          <w:sz w:val="32"/>
          <w:szCs w:val="32"/>
        </w:rPr>
        <w:t>（一）</w:t>
      </w:r>
      <w:r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  <w:t>绩效评价目的、对象和范围。</w:t>
      </w:r>
    </w:p>
    <w:p w:rsidR="00EB03D6" w:rsidRDefault="00EB03D6" w:rsidP="00EB03D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通过绩效评价，加强项目和资金管理，保证项目资金使用规范、高效，对我市三区范围内所有的企业自备水源集中式供水单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位、二次供水单位、农村集中式供水单位的水质进行有效监测。</w:t>
      </w:r>
    </w:p>
    <w:p w:rsidR="00EB03D6" w:rsidRDefault="00EB03D6" w:rsidP="00EB03D6">
      <w:pPr>
        <w:spacing w:line="600" w:lineRule="exact"/>
        <w:ind w:firstLineChars="200" w:firstLine="641"/>
        <w:outlineLvl w:val="0"/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pacing w:val="7"/>
          <w:w w:val="95"/>
          <w:sz w:val="32"/>
          <w:szCs w:val="32"/>
        </w:rPr>
        <w:t>（二）</w:t>
      </w:r>
      <w:r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  <w:t>绩效评价原则、评价指标体系（附表说明）、评价方法、评价标准等。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依据严谨规范，客观公正、实事求是的原则；依据</w:t>
      </w:r>
      <w:r>
        <w:rPr>
          <w:rFonts w:ascii="仿宋_GB2312" w:eastAsia="仿宋_GB2312" w:hint="eastAsia"/>
          <w:sz w:val="32"/>
          <w:szCs w:val="32"/>
        </w:rPr>
        <w:t>《关于印发（淮北市预算绩效管理考核暂行办法）等相关办法的通知》</w:t>
      </w:r>
      <w:r>
        <w:rPr>
          <w:rFonts w:ascii="Times New Roman" w:eastAsia="仿宋_GB2312" w:hAnsi="Times New Roman" w:hint="eastAsia"/>
          <w:sz w:val="32"/>
          <w:szCs w:val="32"/>
        </w:rPr>
        <w:t>文件要求的方法进行自评。</w:t>
      </w:r>
    </w:p>
    <w:p w:rsidR="00EB03D6" w:rsidRDefault="00EB03D6" w:rsidP="00EB03D6">
      <w:pPr>
        <w:spacing w:line="600" w:lineRule="exact"/>
        <w:ind w:firstLineChars="200" w:firstLine="641"/>
        <w:outlineLvl w:val="0"/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pacing w:val="7"/>
          <w:w w:val="95"/>
          <w:sz w:val="32"/>
          <w:szCs w:val="32"/>
        </w:rPr>
        <w:t>(三）</w:t>
      </w:r>
      <w:r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  <w:t>绩效评价工作过程。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落实中共淮北市委、市政府《全面实施预算绩效管理的实施方案》要求，根据淮北市《关于印发（淮北市市级预算绩效管理考核暂行办法）等相关办法的通知》等文件开展2022年度项目支出绩效自评工作的要求</w:t>
      </w:r>
      <w:r>
        <w:rPr>
          <w:rFonts w:ascii="Times New Roman" w:eastAsia="仿宋_GB2312" w:hAnsi="Times New Roman" w:hint="eastAsia"/>
          <w:sz w:val="32"/>
          <w:szCs w:val="32"/>
        </w:rPr>
        <w:t>，组织相关人员，充分了解此项目的运行情况，确定考评意见。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三、综合评价情况及评价结论</w:t>
      </w:r>
      <w:r>
        <w:rPr>
          <w:sz w:val="32"/>
          <w:szCs w:val="32"/>
        </w:rPr>
        <w:t>（附相关评分表）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四、绩效评价指标分析</w:t>
      </w:r>
      <w:r>
        <w:rPr>
          <w:sz w:val="32"/>
          <w:szCs w:val="32"/>
        </w:rPr>
        <w:t>（可附表进行分析）</w:t>
      </w:r>
    </w:p>
    <w:p w:rsidR="00EB03D6" w:rsidRDefault="00EB03D6" w:rsidP="00EB03D6">
      <w:pPr>
        <w:spacing w:line="600" w:lineRule="exact"/>
        <w:ind w:firstLineChars="200" w:firstLine="641"/>
        <w:outlineLvl w:val="0"/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</w:pPr>
      <w:r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  <w:t>（一）项目决策情况。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该项目由局班子会议研究决定设立，立项符合法律法规、相关政策、发展规划以及部门职责；该项目绩效目标符合单位工作实际。</w:t>
      </w:r>
    </w:p>
    <w:p w:rsidR="00EB03D6" w:rsidRDefault="00EB03D6" w:rsidP="00EB03D6">
      <w:pPr>
        <w:spacing w:line="600" w:lineRule="exact"/>
        <w:ind w:firstLineChars="200" w:firstLine="641"/>
        <w:outlineLvl w:val="0"/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pacing w:val="7"/>
          <w:w w:val="95"/>
          <w:sz w:val="32"/>
          <w:szCs w:val="32"/>
        </w:rPr>
        <w:t>（二）</w:t>
      </w:r>
      <w:r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  <w:t>项目过程情况。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项目预算</w:t>
      </w:r>
      <w:r>
        <w:rPr>
          <w:rFonts w:ascii="Times New Roman" w:eastAsia="仿宋_GB2312" w:hAnsi="Times New Roman" w:hint="eastAsia"/>
          <w:sz w:val="32"/>
          <w:szCs w:val="32"/>
        </w:rPr>
        <w:t>69.35</w:t>
      </w:r>
      <w:r>
        <w:rPr>
          <w:rFonts w:ascii="Times New Roman" w:eastAsia="仿宋_GB2312" w:hAnsi="Times New Roman" w:hint="eastAsia"/>
          <w:sz w:val="32"/>
          <w:szCs w:val="32"/>
        </w:rPr>
        <w:t>万元，实际执行</w:t>
      </w:r>
      <w:r>
        <w:rPr>
          <w:rFonts w:ascii="Times New Roman" w:eastAsia="仿宋_GB2312" w:hAnsi="Times New Roman" w:hint="eastAsia"/>
          <w:sz w:val="32"/>
          <w:szCs w:val="32"/>
        </w:rPr>
        <w:t>69.29</w:t>
      </w:r>
      <w:r>
        <w:rPr>
          <w:rFonts w:ascii="Times New Roman" w:eastAsia="仿宋_GB2312" w:hAnsi="Times New Roman" w:hint="eastAsia"/>
          <w:sz w:val="32"/>
          <w:szCs w:val="32"/>
        </w:rPr>
        <w:t>万元，执行率</w:t>
      </w:r>
      <w:r>
        <w:rPr>
          <w:rFonts w:ascii="Times New Roman" w:eastAsia="仿宋_GB2312" w:hAnsi="Times New Roman" w:hint="eastAsia"/>
          <w:sz w:val="32"/>
          <w:szCs w:val="32"/>
        </w:rPr>
        <w:t>99.9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 w:hint="eastAsia"/>
          <w:sz w:val="32"/>
          <w:szCs w:val="32"/>
        </w:rPr>
        <w:t>，实施过程没有超预算，每季度按照进度计划完成阶目标，至年底完成全年工作计划，各项费用实际支出与年初预算基本一致，项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目资金使用符合相关的财务管理制度规定；项目实施过程严格遵守相关法律法规和相关管理规定。</w:t>
      </w:r>
    </w:p>
    <w:p w:rsidR="00EB03D6" w:rsidRDefault="00EB03D6" w:rsidP="00EB03D6">
      <w:pPr>
        <w:spacing w:line="600" w:lineRule="exact"/>
        <w:ind w:firstLineChars="200" w:firstLine="641"/>
        <w:outlineLvl w:val="0"/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pacing w:val="7"/>
          <w:w w:val="95"/>
          <w:sz w:val="32"/>
          <w:szCs w:val="32"/>
        </w:rPr>
        <w:t>（三）</w:t>
      </w:r>
      <w:r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  <w:t>项目产出情况。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全年共计采集各类水样</w:t>
      </w:r>
      <w:r>
        <w:rPr>
          <w:rFonts w:ascii="Times New Roman" w:eastAsia="仿宋_GB2312" w:hAnsi="Times New Roman" w:hint="eastAsia"/>
          <w:sz w:val="32"/>
          <w:szCs w:val="32"/>
        </w:rPr>
        <w:t>304</w:t>
      </w:r>
      <w:r>
        <w:rPr>
          <w:rFonts w:ascii="Times New Roman" w:eastAsia="仿宋_GB2312" w:hAnsi="Times New Roman" w:hint="eastAsia"/>
          <w:sz w:val="32"/>
          <w:szCs w:val="32"/>
        </w:rPr>
        <w:t>份，能基本覆盖全部监测点，检测项目为水质全分析，做到了实时掌握水质安全状况，圆满完成年初项目的数量和质量的设定。</w:t>
      </w:r>
    </w:p>
    <w:p w:rsidR="00EB03D6" w:rsidRDefault="00EB03D6" w:rsidP="00EB03D6">
      <w:pPr>
        <w:spacing w:line="600" w:lineRule="exact"/>
        <w:ind w:firstLineChars="200" w:firstLine="641"/>
        <w:outlineLvl w:val="0"/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pacing w:val="7"/>
          <w:w w:val="95"/>
          <w:sz w:val="32"/>
          <w:szCs w:val="32"/>
        </w:rPr>
        <w:t>（四）</w:t>
      </w:r>
      <w:r>
        <w:rPr>
          <w:rFonts w:ascii="楷体_GB2312" w:eastAsia="楷体_GB2312" w:hAnsi="仿宋_GB2312" w:cs="仿宋_GB2312"/>
          <w:b/>
          <w:spacing w:val="7"/>
          <w:w w:val="95"/>
          <w:sz w:val="32"/>
          <w:szCs w:val="32"/>
        </w:rPr>
        <w:t>项目效益情况。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社会效益和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持续影响效益工作显著。水质检验按照《生活饮用水标准检验方法》（</w:t>
      </w:r>
      <w:r>
        <w:rPr>
          <w:rFonts w:ascii="Times New Roman" w:eastAsia="仿宋_GB2312" w:hAnsi="Times New Roman"/>
          <w:sz w:val="32"/>
          <w:szCs w:val="32"/>
        </w:rPr>
        <w:t>GB/T5750</w:t>
      </w:r>
      <w:r>
        <w:rPr>
          <w:rFonts w:ascii="Times New Roman" w:eastAsia="仿宋_GB2312" w:hAnsi="Times New Roman" w:hint="eastAsia"/>
          <w:sz w:val="32"/>
          <w:szCs w:val="32"/>
        </w:rPr>
        <w:t>－</w:t>
      </w:r>
      <w:r>
        <w:rPr>
          <w:rFonts w:ascii="Times New Roman" w:eastAsia="仿宋_GB2312" w:hAnsi="Times New Roman"/>
          <w:sz w:val="32"/>
          <w:szCs w:val="32"/>
        </w:rPr>
        <w:t>2006</w:t>
      </w:r>
      <w:r>
        <w:rPr>
          <w:rFonts w:ascii="Times New Roman" w:eastAsia="仿宋_GB2312" w:hAnsi="Times New Roman" w:hint="eastAsia"/>
          <w:sz w:val="32"/>
          <w:szCs w:val="32"/>
        </w:rPr>
        <w:t>）执行，水质评价按照《生活饮用水标准检验方法》（</w:t>
      </w:r>
      <w:r>
        <w:rPr>
          <w:rFonts w:ascii="Times New Roman" w:eastAsia="仿宋_GB2312" w:hAnsi="Times New Roman"/>
          <w:sz w:val="32"/>
          <w:szCs w:val="32"/>
        </w:rPr>
        <w:t>GB/T5749</w:t>
      </w:r>
      <w:r>
        <w:rPr>
          <w:rFonts w:ascii="Times New Roman" w:eastAsia="仿宋_GB2312" w:hAnsi="Times New Roman" w:hint="eastAsia"/>
          <w:sz w:val="32"/>
          <w:szCs w:val="32"/>
        </w:rPr>
        <w:t>－</w:t>
      </w:r>
      <w:r>
        <w:rPr>
          <w:rFonts w:ascii="Times New Roman" w:eastAsia="仿宋_GB2312" w:hAnsi="Times New Roman"/>
          <w:sz w:val="32"/>
          <w:szCs w:val="32"/>
        </w:rPr>
        <w:t>2006</w:t>
      </w:r>
      <w:r>
        <w:rPr>
          <w:rFonts w:ascii="Times New Roman" w:eastAsia="仿宋_GB2312" w:hAnsi="Times New Roman" w:hint="eastAsia"/>
          <w:sz w:val="32"/>
          <w:szCs w:val="32"/>
        </w:rPr>
        <w:t>）执行。对纳入监测网的集中式供水、二次供水和农村集中式供水单位，每季度开展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次水质全分析检验，卫生监督机构撰写每季度工作开展情况报告报至市卫健委，保障群众饮水安全。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五、主要经验及做法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由于项目实施严谨高效，具有较强的公共属性，很好的弥补了农水供水单位基本没有自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检能力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的缺陷，发挥着重大的社会效益和经济效益。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六、存在问题及原因分析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支队本年预算项目编制不够精细，有些经济科目需调整。今后，支队将加强预算管理，细化项目管理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七、有关建议</w:t>
      </w:r>
    </w:p>
    <w:p w:rsidR="00EB03D6" w:rsidRDefault="00EB03D6" w:rsidP="00EB03D6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认真实施绩效评价体系，以绩效导向的全面预算评价体系，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制定科学、完善、切合实际的考核项目和标准，强化对预算管理全过程的资金使用实施考核、评价，通过绩效评价反映日常工作中预算执行情况、及时掌握资金使用情况、提高资金使用率，为单位领导的决策提供参考，促进卫生监督执法的健康全面发展。</w:t>
      </w:r>
    </w:p>
    <w:p w:rsidR="00EB03D6" w:rsidRDefault="00EB03D6" w:rsidP="00EB03D6">
      <w:pPr>
        <w:spacing w:line="600" w:lineRule="exact"/>
        <w:ind w:firstLineChars="200" w:firstLine="605"/>
        <w:outlineLvl w:val="0"/>
        <w:rPr>
          <w:rFonts w:ascii="黑体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八、其他需要说明的问题</w:t>
      </w:r>
    </w:p>
    <w:p w:rsidR="00EB03D6" w:rsidRDefault="00EB03D6" w:rsidP="00EB03D6">
      <w:pPr>
        <w:pStyle w:val="a0"/>
        <w:spacing w:before="6"/>
        <w:rPr>
          <w:rFonts w:ascii="黑体"/>
          <w:lang w:val="en-US"/>
        </w:rPr>
      </w:pPr>
      <w:r>
        <w:rPr>
          <w:rFonts w:ascii="黑体" w:hint="eastAsia"/>
          <w:lang w:val="en-US"/>
        </w:rPr>
        <w:t xml:space="preserve">    </w:t>
      </w:r>
      <w:r>
        <w:rPr>
          <w:rFonts w:ascii="黑体" w:hint="eastAsia"/>
          <w:lang w:val="en-US"/>
        </w:rPr>
        <w:t>无。</w:t>
      </w:r>
      <w:bookmarkStart w:id="0" w:name="_GoBack"/>
      <w:bookmarkEnd w:id="0"/>
    </w:p>
    <w:sectPr w:rsidR="00EB03D6" w:rsidSect="007F1E3F">
      <w:pgSz w:w="11911" w:h="16838"/>
      <w:pgMar w:top="1582" w:right="1417" w:bottom="1582" w:left="1480" w:header="0" w:footer="1383" w:gutter="0"/>
      <w:pgNumType w:fmt="numberInDash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F3" w:rsidRDefault="00F503F3">
      <w:r>
        <w:separator/>
      </w:r>
    </w:p>
  </w:endnote>
  <w:endnote w:type="continuationSeparator" w:id="0">
    <w:p w:rsidR="00F503F3" w:rsidRDefault="00F5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F3" w:rsidRDefault="00F503F3">
      <w:r>
        <w:separator/>
      </w:r>
    </w:p>
  </w:footnote>
  <w:footnote w:type="continuationSeparator" w:id="0">
    <w:p w:rsidR="00F503F3" w:rsidRDefault="00F5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266" w:hanging="327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1714" w:hanging="322"/>
      </w:pPr>
      <w:rPr>
        <w:rFonts w:ascii="仿宋_GB2312" w:eastAsia="仿宋_GB2312" w:hAnsi="仿宋_GB2312" w:cs="仿宋_GB2312" w:hint="default"/>
        <w:spacing w:val="-2"/>
        <w:w w:val="99"/>
        <w:sz w:val="30"/>
        <w:szCs w:val="30"/>
        <w:lang w:val="zh-CN" w:eastAsia="zh-CN" w:bidi="zh-CN"/>
      </w:rPr>
    </w:lvl>
    <w:lvl w:ilvl="2">
      <w:numFmt w:val="bullet"/>
      <w:lvlText w:val="•"/>
      <w:lvlJc w:val="left"/>
      <w:pPr>
        <w:ind w:left="2180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33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86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9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93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46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99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D6"/>
    <w:rsid w:val="00183F5F"/>
    <w:rsid w:val="007F1E3F"/>
    <w:rsid w:val="00EB03D6"/>
    <w:rsid w:val="00F503F3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B03D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1"/>
    <w:qFormat/>
    <w:rsid w:val="00EB03D6"/>
    <w:pPr>
      <w:ind w:right="332"/>
      <w:jc w:val="center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rsid w:val="00EB03D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03D6"/>
    <w:rPr>
      <w:rFonts w:ascii="PMingLiU" w:eastAsia="PMingLiU" w:hAnsi="PMingLiU" w:cs="PMingLiU"/>
      <w:sz w:val="44"/>
      <w:szCs w:val="44"/>
      <w:lang w:val="zh-CN" w:bidi="zh-CN"/>
    </w:rPr>
  </w:style>
  <w:style w:type="character" w:customStyle="1" w:styleId="2Char">
    <w:name w:val="标题 2 Char"/>
    <w:basedOn w:val="a1"/>
    <w:link w:val="2"/>
    <w:rsid w:val="00EB03D6"/>
    <w:rPr>
      <w:rFonts w:ascii="Arial" w:eastAsia="黑体" w:hAnsi="Arial" w:cs="Times New Roman"/>
      <w:b/>
      <w:sz w:val="32"/>
      <w:szCs w:val="24"/>
    </w:rPr>
  </w:style>
  <w:style w:type="paragraph" w:styleId="a0">
    <w:name w:val="Body Text"/>
    <w:basedOn w:val="a"/>
    <w:link w:val="Char"/>
    <w:uiPriority w:val="1"/>
    <w:qFormat/>
    <w:rsid w:val="00EB03D6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">
    <w:name w:val="正文文本 Char"/>
    <w:basedOn w:val="a1"/>
    <w:link w:val="a0"/>
    <w:uiPriority w:val="1"/>
    <w:rsid w:val="00EB03D6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EB03D6"/>
    <w:pPr>
      <w:ind w:left="266" w:firstLine="640"/>
    </w:pPr>
    <w:rPr>
      <w:rFonts w:ascii="仿宋_GB2312" w:eastAsia="仿宋_GB2312" w:hAnsi="仿宋_GB2312" w:cs="仿宋_GB231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B03D6"/>
    <w:rPr>
      <w:rFonts w:ascii="宋体" w:hAnsi="宋体" w:cs="宋体"/>
      <w:lang w:val="zh-CN" w:bidi="zh-CN"/>
    </w:rPr>
  </w:style>
  <w:style w:type="paragraph" w:styleId="a5">
    <w:name w:val="header"/>
    <w:basedOn w:val="a"/>
    <w:link w:val="Char0"/>
    <w:uiPriority w:val="99"/>
    <w:unhideWhenUsed/>
    <w:rsid w:val="007F1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7F1E3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1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7F1E3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B03D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1"/>
    <w:qFormat/>
    <w:rsid w:val="00EB03D6"/>
    <w:pPr>
      <w:ind w:right="332"/>
      <w:jc w:val="center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rsid w:val="00EB03D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03D6"/>
    <w:rPr>
      <w:rFonts w:ascii="PMingLiU" w:eastAsia="PMingLiU" w:hAnsi="PMingLiU" w:cs="PMingLiU"/>
      <w:sz w:val="44"/>
      <w:szCs w:val="44"/>
      <w:lang w:val="zh-CN" w:bidi="zh-CN"/>
    </w:rPr>
  </w:style>
  <w:style w:type="character" w:customStyle="1" w:styleId="2Char">
    <w:name w:val="标题 2 Char"/>
    <w:basedOn w:val="a1"/>
    <w:link w:val="2"/>
    <w:rsid w:val="00EB03D6"/>
    <w:rPr>
      <w:rFonts w:ascii="Arial" w:eastAsia="黑体" w:hAnsi="Arial" w:cs="Times New Roman"/>
      <w:b/>
      <w:sz w:val="32"/>
      <w:szCs w:val="24"/>
    </w:rPr>
  </w:style>
  <w:style w:type="paragraph" w:styleId="a0">
    <w:name w:val="Body Text"/>
    <w:basedOn w:val="a"/>
    <w:link w:val="Char"/>
    <w:uiPriority w:val="1"/>
    <w:qFormat/>
    <w:rsid w:val="00EB03D6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">
    <w:name w:val="正文文本 Char"/>
    <w:basedOn w:val="a1"/>
    <w:link w:val="a0"/>
    <w:uiPriority w:val="1"/>
    <w:rsid w:val="00EB03D6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EB03D6"/>
    <w:pPr>
      <w:ind w:left="266" w:firstLine="640"/>
    </w:pPr>
    <w:rPr>
      <w:rFonts w:ascii="仿宋_GB2312" w:eastAsia="仿宋_GB2312" w:hAnsi="仿宋_GB2312" w:cs="仿宋_GB231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B03D6"/>
    <w:rPr>
      <w:rFonts w:ascii="宋体" w:hAnsi="宋体" w:cs="宋体"/>
      <w:lang w:val="zh-CN" w:bidi="zh-CN"/>
    </w:rPr>
  </w:style>
  <w:style w:type="paragraph" w:styleId="a5">
    <w:name w:val="header"/>
    <w:basedOn w:val="a"/>
    <w:link w:val="Char0"/>
    <w:uiPriority w:val="99"/>
    <w:unhideWhenUsed/>
    <w:rsid w:val="007F1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7F1E3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1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7F1E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1335</Characters>
  <Application>Microsoft Office Word</Application>
  <DocSecurity>0</DocSecurity>
  <Lines>11</Lines>
  <Paragraphs>3</Paragraphs>
  <ScaleCrop>false</ScaleCrop>
  <Company>China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邬露阳</cp:lastModifiedBy>
  <cp:revision>2</cp:revision>
  <dcterms:created xsi:type="dcterms:W3CDTF">2023-04-21T08:55:00Z</dcterms:created>
  <dcterms:modified xsi:type="dcterms:W3CDTF">2023-05-05T08:39:00Z</dcterms:modified>
</cp:coreProperties>
</file>