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60" w:lineRule="exact"/>
        <w:jc w:val="left"/>
        <w:rPr>
          <w:rFonts w:ascii="黑体" w:hAnsi="黑体" w:eastAsia="黑体" w:cs="Times New Roman"/>
          <w:sz w:val="32"/>
          <w:szCs w:val="32"/>
        </w:rPr>
      </w:pPr>
      <w:r>
        <w:rPr>
          <w:rFonts w:hint="eastAsia" w:ascii="黑体" w:hAnsi="黑体" w:eastAsia="黑体" w:cs="Times New Roman"/>
          <w:sz w:val="32"/>
          <w:szCs w:val="32"/>
        </w:rPr>
        <w:t>附件4：</w:t>
      </w:r>
    </w:p>
    <w:p>
      <w:pPr>
        <w:adjustRightInd w:val="0"/>
        <w:snapToGrid w:val="0"/>
        <w:spacing w:line="560" w:lineRule="exact"/>
        <w:jc w:val="center"/>
        <w:rPr>
          <w:rFonts w:hint="eastAsia"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val="en-US" w:eastAsia="zh-CN"/>
        </w:rPr>
        <w:t>正常运转经费补助</w:t>
      </w:r>
      <w:r>
        <w:rPr>
          <w:rFonts w:hint="eastAsia" w:ascii="Times New Roman" w:hAnsi="Times New Roman" w:eastAsia="方正小标宋简体" w:cs="Times New Roman"/>
          <w:sz w:val="44"/>
          <w:szCs w:val="44"/>
        </w:rPr>
        <w:t>项目支出</w:t>
      </w:r>
    </w:p>
    <w:p>
      <w:pPr>
        <w:adjustRightInd w:val="0"/>
        <w:snapToGrid w:val="0"/>
        <w:spacing w:line="560" w:lineRule="exact"/>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绩效自评报告</w:t>
      </w:r>
    </w:p>
    <w:p>
      <w:pPr>
        <w:adjustRightInd w:val="0"/>
        <w:snapToGrid w:val="0"/>
        <w:spacing w:line="560" w:lineRule="exact"/>
        <w:jc w:val="center"/>
        <w:rPr>
          <w:rFonts w:ascii="Times New Roman" w:hAnsi="Times New Roman" w:eastAsia="方正小标宋简体" w:cs="Times New Roman"/>
          <w:sz w:val="44"/>
          <w:szCs w:val="44"/>
        </w:rPr>
      </w:pPr>
    </w:p>
    <w:p>
      <w:pPr>
        <w:adjustRightInd w:val="0"/>
        <w:snapToGrid w:val="0"/>
        <w:spacing w:line="560" w:lineRule="exact"/>
        <w:ind w:firstLine="640" w:firstLineChars="200"/>
        <w:rPr>
          <w:rFonts w:ascii="黑体" w:hAnsi="黑体" w:eastAsia="黑体" w:cs="Times New Roman"/>
          <w:bCs/>
          <w:sz w:val="32"/>
          <w:szCs w:val="32"/>
        </w:rPr>
      </w:pPr>
      <w:r>
        <w:rPr>
          <w:rFonts w:hint="eastAsia" w:ascii="黑体" w:hAnsi="黑体" w:eastAsia="黑体" w:cs="Times New Roman"/>
          <w:bCs/>
          <w:sz w:val="32"/>
          <w:szCs w:val="32"/>
        </w:rPr>
        <w:t>一、</w:t>
      </w:r>
      <w:r>
        <w:rPr>
          <w:rFonts w:ascii="黑体" w:hAnsi="黑体" w:eastAsia="黑体" w:cs="Times New Roman"/>
          <w:bCs/>
          <w:sz w:val="32"/>
          <w:szCs w:val="32"/>
        </w:rPr>
        <w:t>基本情况</w:t>
      </w:r>
    </w:p>
    <w:p>
      <w:pPr>
        <w:adjustRightInd w:val="0"/>
        <w:snapToGrid w:val="0"/>
        <w:spacing w:line="560" w:lineRule="exact"/>
        <w:ind w:firstLine="643" w:firstLineChars="200"/>
        <w:rPr>
          <w:rFonts w:hint="eastAsia" w:ascii="楷体_GB2312" w:hAnsi="Times New Roman" w:eastAsia="楷体_GB2312" w:cs="Times New Roman"/>
          <w:b/>
          <w:sz w:val="32"/>
          <w:szCs w:val="32"/>
        </w:rPr>
      </w:pPr>
      <w:r>
        <w:rPr>
          <w:rFonts w:hint="eastAsia" w:ascii="楷体_GB2312" w:hAnsi="Times New Roman" w:eastAsia="楷体_GB2312" w:cs="Times New Roman"/>
          <w:b/>
          <w:sz w:val="32"/>
          <w:szCs w:val="32"/>
        </w:rPr>
        <w:t>（一）项目概况</w:t>
      </w:r>
    </w:p>
    <w:p>
      <w:pPr>
        <w:adjustRightInd w:val="0"/>
        <w:snapToGrid w:val="0"/>
        <w:spacing w:line="560" w:lineRule="exact"/>
        <w:ind w:firstLine="640" w:firstLineChars="200"/>
        <w:rPr>
          <w:rFonts w:hint="eastAsia" w:ascii="楷体_GB2312" w:hAnsi="Times New Roman" w:eastAsia="楷体_GB2312" w:cs="Times New Roman"/>
          <w:b/>
          <w:sz w:val="32"/>
          <w:szCs w:val="32"/>
        </w:rPr>
      </w:pPr>
      <w:r>
        <w:rPr>
          <w:rFonts w:hint="eastAsia" w:ascii="仿宋_GB2312" w:hAnsi="楷体" w:eastAsia="仿宋_GB2312"/>
          <w:sz w:val="32"/>
          <w:szCs w:val="32"/>
          <w:lang w:val="en-US" w:eastAsia="zh-CN"/>
        </w:rPr>
        <w:t>本项目包含办公经费1.17万元、办公费2.11万元、印刷费0.56万元、水费2.77万元、电费6.72万元、邮电费4.17万元，物业管理费8.45万元，差旅费0.22万元，维修（护）费4万元，委托业务费0.08万元，其他交通费8.16万元，其他商品和服务支出10.8万元，共计49.21</w:t>
      </w:r>
      <w:bookmarkStart w:id="0" w:name="_GoBack"/>
      <w:bookmarkEnd w:id="0"/>
      <w:r>
        <w:rPr>
          <w:rFonts w:hint="eastAsia" w:ascii="仿宋_GB2312" w:hAnsi="楷体" w:eastAsia="仿宋_GB2312"/>
          <w:sz w:val="32"/>
          <w:szCs w:val="32"/>
          <w:lang w:val="en-US" w:eastAsia="zh-CN"/>
        </w:rPr>
        <w:t>万元。本项目主要用于维持淮北市传染病医院日常费用的支出及保障医院闭环收治新冠病人时，后勤及临床各科室的硬件、 软件达到新冠防疫要求。</w:t>
      </w:r>
    </w:p>
    <w:p>
      <w:pPr>
        <w:snapToGrid w:val="0"/>
        <w:spacing w:line="560" w:lineRule="exact"/>
        <w:ind w:firstLine="643" w:firstLineChars="200"/>
        <w:rPr>
          <w:rFonts w:ascii="楷体_GB2312" w:hAnsi="Times New Roman" w:eastAsia="楷体_GB2312" w:cs="Times New Roman"/>
          <w:b/>
          <w:sz w:val="32"/>
          <w:szCs w:val="32"/>
        </w:rPr>
      </w:pPr>
      <w:r>
        <w:rPr>
          <w:rFonts w:hint="eastAsia" w:ascii="楷体_GB2312" w:hAnsi="Times New Roman" w:eastAsia="楷体_GB2312" w:cs="Times New Roman"/>
          <w:b/>
          <w:sz w:val="32"/>
          <w:szCs w:val="32"/>
        </w:rPr>
        <w:t>（二）项目绩效目标</w:t>
      </w:r>
    </w:p>
    <w:p>
      <w:pPr>
        <w:pStyle w:val="8"/>
        <w:spacing w:before="0" w:beforeAutospacing="0" w:after="0" w:afterAutospacing="0" w:line="560" w:lineRule="exact"/>
        <w:ind w:firstLine="643" w:firstLineChars="200"/>
        <w:rPr>
          <w:rFonts w:hint="eastAsia" w:ascii="仿宋_GB2312" w:hAnsi="楷体" w:eastAsia="仿宋_GB2312" w:cs="Calibri"/>
          <w:kern w:val="2"/>
          <w:sz w:val="32"/>
          <w:szCs w:val="32"/>
          <w:lang w:val="en-US" w:eastAsia="zh-CN" w:bidi="ar-SA"/>
        </w:rPr>
      </w:pPr>
      <w:r>
        <w:rPr>
          <w:rFonts w:hint="eastAsia" w:ascii="楷体_GB2312" w:hAnsi="Times New Roman" w:eastAsia="楷体_GB2312" w:cs="Times New Roman"/>
          <w:b/>
          <w:bCs/>
          <w:kern w:val="2"/>
          <w:sz w:val="32"/>
          <w:szCs w:val="32"/>
        </w:rPr>
        <w:t>总体目标：</w:t>
      </w:r>
      <w:r>
        <w:rPr>
          <w:rFonts w:hint="eastAsia" w:ascii="仿宋_GB2312" w:hAnsi="楷体" w:eastAsia="仿宋_GB2312" w:cs="Calibri"/>
          <w:kern w:val="2"/>
          <w:sz w:val="32"/>
          <w:szCs w:val="32"/>
          <w:lang w:val="en-US" w:eastAsia="zh-CN" w:bidi="ar-SA"/>
        </w:rPr>
        <w:t xml:space="preserve">维持传染病医院日常工作正常开展 </w:t>
      </w:r>
    </w:p>
    <w:p>
      <w:pPr>
        <w:pStyle w:val="8"/>
        <w:spacing w:before="0" w:beforeAutospacing="0" w:after="0" w:afterAutospacing="0" w:line="560" w:lineRule="exact"/>
        <w:ind w:firstLine="643" w:firstLineChars="200"/>
        <w:rPr>
          <w:rFonts w:hint="eastAsia" w:ascii="仿宋_GB2312" w:hAnsi="楷体" w:eastAsia="仿宋_GB2312" w:cs="Calibri"/>
          <w:kern w:val="2"/>
          <w:sz w:val="32"/>
          <w:szCs w:val="32"/>
          <w:lang w:val="en-US" w:eastAsia="zh-CN" w:bidi="ar-SA"/>
        </w:rPr>
      </w:pPr>
      <w:r>
        <w:rPr>
          <w:rFonts w:hint="eastAsia" w:ascii="楷体_GB2312" w:hAnsi="Times New Roman" w:eastAsia="楷体_GB2312" w:cs="Times New Roman"/>
          <w:b/>
          <w:bCs/>
          <w:kern w:val="2"/>
          <w:sz w:val="32"/>
          <w:szCs w:val="32"/>
          <w:lang w:val="en-US" w:eastAsia="zh-CN"/>
        </w:rPr>
        <w:t>年度目标：</w:t>
      </w:r>
      <w:r>
        <w:rPr>
          <w:rFonts w:hint="eastAsia" w:ascii="仿宋_GB2312" w:hAnsi="楷体" w:eastAsia="仿宋_GB2312" w:cs="Calibri"/>
          <w:kern w:val="2"/>
          <w:sz w:val="32"/>
          <w:szCs w:val="32"/>
          <w:lang w:val="en-US" w:eastAsia="zh-CN" w:bidi="ar-SA"/>
        </w:rPr>
        <w:t xml:space="preserve">保障传染病医院时刻保持在新冠疫情防控备战状态 </w:t>
      </w:r>
    </w:p>
    <w:p>
      <w:pPr>
        <w:adjustRightInd w:val="0"/>
        <w:snapToGrid w:val="0"/>
        <w:spacing w:line="560" w:lineRule="exact"/>
        <w:ind w:firstLine="640" w:firstLineChars="200"/>
        <w:jc w:val="left"/>
        <w:rPr>
          <w:rFonts w:ascii="黑体" w:hAnsi="黑体" w:eastAsia="黑体" w:cs="Times New Roman"/>
          <w:bCs/>
          <w:color w:val="000000"/>
          <w:sz w:val="32"/>
          <w:szCs w:val="32"/>
        </w:rPr>
      </w:pPr>
      <w:r>
        <w:rPr>
          <w:rFonts w:hint="eastAsia" w:ascii="黑体" w:hAnsi="黑体" w:eastAsia="黑体" w:cs="Times New Roman"/>
          <w:bCs/>
          <w:color w:val="000000"/>
          <w:sz w:val="32"/>
          <w:szCs w:val="32"/>
        </w:rPr>
        <w:t>二、绩效评价工作开展</w:t>
      </w:r>
      <w:r>
        <w:rPr>
          <w:rFonts w:ascii="黑体" w:hAnsi="黑体" w:eastAsia="黑体" w:cs="Times New Roman"/>
          <w:bCs/>
          <w:color w:val="000000"/>
          <w:sz w:val="32"/>
          <w:szCs w:val="32"/>
        </w:rPr>
        <w:t>情况</w:t>
      </w:r>
    </w:p>
    <w:p>
      <w:pPr>
        <w:adjustRightInd w:val="0"/>
        <w:snapToGrid w:val="0"/>
        <w:spacing w:line="560" w:lineRule="exact"/>
        <w:ind w:firstLine="643" w:firstLineChars="200"/>
        <w:jc w:val="left"/>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（一）绩效评价目的、对象和范围</w:t>
      </w:r>
    </w:p>
    <w:p>
      <w:pPr>
        <w:adjustRightInd w:val="0"/>
        <w:snapToGrid w:val="0"/>
        <w:spacing w:line="560" w:lineRule="exact"/>
        <w:ind w:firstLine="643" w:firstLineChars="200"/>
        <w:jc w:val="left"/>
        <w:rPr>
          <w:rFonts w:hint="eastAsia" w:ascii="仿宋_GB2312" w:hAnsi="楷体" w:eastAsia="仿宋_GB2312" w:cs="Calibri"/>
          <w:kern w:val="2"/>
          <w:sz w:val="32"/>
          <w:szCs w:val="32"/>
          <w:lang w:val="en-US" w:eastAsia="zh-CN" w:bidi="ar-SA"/>
        </w:rPr>
      </w:pPr>
      <w:r>
        <w:rPr>
          <w:rFonts w:hint="eastAsia" w:ascii="楷体_GB2312" w:hAnsi="Times New Roman" w:eastAsia="楷体_GB2312" w:cs="Times New Roman"/>
          <w:b/>
          <w:bCs/>
          <w:sz w:val="32"/>
          <w:szCs w:val="32"/>
          <w:lang w:val="en-US" w:eastAsia="zh-CN"/>
        </w:rPr>
        <w:t>目的：</w:t>
      </w:r>
      <w:r>
        <w:rPr>
          <w:rFonts w:hint="eastAsia" w:ascii="仿宋_GB2312" w:hAnsi="楷体" w:eastAsia="仿宋_GB2312" w:cs="Calibri"/>
          <w:kern w:val="2"/>
          <w:sz w:val="32"/>
          <w:szCs w:val="32"/>
          <w:lang w:val="en-US" w:eastAsia="zh-CN" w:bidi="ar-SA"/>
        </w:rPr>
        <w:t>根据设定的绩效目标，运用科学、合理的绩效评价指标、评价标准和评价方法，对“正常运转经费补助”的使用情况以及取得的绩效情况进行客观、公正的评价。查找资金使用和管理中的薄弱环节，为进一步完善财政政策、改进预算管理、提高预算资金绩效提供依据。</w:t>
      </w:r>
    </w:p>
    <w:p>
      <w:pPr>
        <w:adjustRightInd w:val="0"/>
        <w:snapToGrid w:val="0"/>
        <w:spacing w:line="560" w:lineRule="exact"/>
        <w:ind w:firstLine="643" w:firstLineChars="200"/>
        <w:jc w:val="left"/>
        <w:rPr>
          <w:rFonts w:hint="eastAsia" w:ascii="仿宋_GB2312" w:hAnsi="楷体" w:eastAsia="仿宋_GB2312" w:cs="Calibri"/>
          <w:kern w:val="2"/>
          <w:sz w:val="32"/>
          <w:szCs w:val="32"/>
          <w:lang w:val="en-US" w:eastAsia="zh-CN" w:bidi="ar-SA"/>
        </w:rPr>
      </w:pPr>
      <w:r>
        <w:rPr>
          <w:rFonts w:hint="eastAsia" w:ascii="楷体_GB2312" w:hAnsi="Times New Roman" w:eastAsia="楷体_GB2312" w:cs="Times New Roman"/>
          <w:b/>
          <w:bCs/>
          <w:sz w:val="32"/>
          <w:szCs w:val="32"/>
          <w:lang w:val="en-US" w:eastAsia="zh-CN"/>
        </w:rPr>
        <w:t>对象：</w:t>
      </w:r>
      <w:r>
        <w:rPr>
          <w:rFonts w:hint="eastAsia" w:ascii="仿宋_GB2312" w:hAnsi="楷体" w:eastAsia="仿宋_GB2312" w:cs="Calibri"/>
          <w:kern w:val="2"/>
          <w:sz w:val="32"/>
          <w:szCs w:val="32"/>
          <w:lang w:val="en-US" w:eastAsia="zh-CN" w:bidi="ar-SA"/>
        </w:rPr>
        <w:t>淮北市传染病医院“正常运转经费补助”项目</w:t>
      </w:r>
    </w:p>
    <w:p>
      <w:pPr>
        <w:adjustRightInd w:val="0"/>
        <w:snapToGrid w:val="0"/>
        <w:spacing w:line="560" w:lineRule="exact"/>
        <w:ind w:firstLine="643" w:firstLineChars="200"/>
        <w:jc w:val="left"/>
        <w:rPr>
          <w:rFonts w:hint="eastAsia" w:ascii="仿宋_GB2312" w:hAnsi="楷体" w:eastAsia="仿宋_GB2312" w:cs="Calibri"/>
          <w:kern w:val="2"/>
          <w:sz w:val="32"/>
          <w:szCs w:val="32"/>
          <w:lang w:val="en-US" w:eastAsia="zh-CN" w:bidi="ar-SA"/>
        </w:rPr>
      </w:pPr>
      <w:r>
        <w:rPr>
          <w:rFonts w:hint="eastAsia" w:ascii="楷体_GB2312" w:hAnsi="Times New Roman" w:eastAsia="楷体_GB2312" w:cs="Times New Roman"/>
          <w:b/>
          <w:bCs/>
          <w:sz w:val="32"/>
          <w:szCs w:val="32"/>
        </w:rPr>
        <w:t>范围</w:t>
      </w:r>
      <w:r>
        <w:rPr>
          <w:rFonts w:hint="eastAsia" w:ascii="楷体_GB2312" w:hAnsi="Times New Roman" w:eastAsia="楷体_GB2312" w:cs="Times New Roman"/>
          <w:b/>
          <w:bCs/>
          <w:sz w:val="32"/>
          <w:szCs w:val="32"/>
          <w:lang w:eastAsia="zh-CN"/>
        </w:rPr>
        <w:t>：</w:t>
      </w:r>
      <w:r>
        <w:rPr>
          <w:rFonts w:hint="eastAsia" w:ascii="仿宋_GB2312" w:hAnsi="楷体" w:eastAsia="仿宋_GB2312" w:cs="Calibri"/>
          <w:kern w:val="2"/>
          <w:sz w:val="32"/>
          <w:szCs w:val="32"/>
          <w:lang w:val="en-US" w:eastAsia="zh-CN" w:bidi="ar-SA"/>
        </w:rPr>
        <w:t>“正常运转经费补助”</w:t>
      </w:r>
    </w:p>
    <w:p>
      <w:pPr>
        <w:numPr>
          <w:ilvl w:val="0"/>
          <w:numId w:val="1"/>
        </w:numPr>
        <w:adjustRightInd w:val="0"/>
        <w:snapToGrid w:val="0"/>
        <w:spacing w:line="560" w:lineRule="exact"/>
        <w:ind w:firstLine="643" w:firstLineChars="200"/>
        <w:jc w:val="left"/>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绩效评价原则、评价指标体系、评价方法、评价标准</w:t>
      </w:r>
    </w:p>
    <w:p>
      <w:pPr>
        <w:adjustRightInd w:val="0"/>
        <w:snapToGrid w:val="0"/>
        <w:spacing w:line="560" w:lineRule="exact"/>
        <w:ind w:firstLine="640" w:firstLineChars="200"/>
        <w:jc w:val="left"/>
        <w:rPr>
          <w:rFonts w:hint="eastAsia" w:ascii="仿宋_GB2312" w:hAnsi="楷体" w:eastAsia="仿宋_GB2312" w:cs="Calibri"/>
          <w:kern w:val="2"/>
          <w:sz w:val="32"/>
          <w:szCs w:val="32"/>
          <w:lang w:val="en-US" w:eastAsia="zh-CN" w:bidi="ar-SA"/>
        </w:rPr>
      </w:pPr>
      <w:r>
        <w:rPr>
          <w:rFonts w:hint="eastAsia" w:ascii="仿宋_GB2312" w:hAnsi="楷体" w:eastAsia="仿宋_GB2312" w:cs="Calibri"/>
          <w:kern w:val="2"/>
          <w:sz w:val="32"/>
          <w:szCs w:val="32"/>
          <w:lang w:val="en-US" w:eastAsia="zh-CN" w:bidi="ar-SA"/>
        </w:rPr>
        <w:t>按照科学规范、公开公正、分级分类、绩效相关原则进行评价。</w:t>
      </w:r>
    </w:p>
    <w:p>
      <w:pPr>
        <w:numPr>
          <w:ilvl w:val="0"/>
          <w:numId w:val="1"/>
        </w:numPr>
        <w:adjustRightInd w:val="0"/>
        <w:snapToGrid w:val="0"/>
        <w:spacing w:line="560" w:lineRule="exact"/>
        <w:ind w:left="0" w:leftChars="0" w:firstLine="643" w:firstLineChars="200"/>
        <w:jc w:val="left"/>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绩效评价过程</w:t>
      </w:r>
    </w:p>
    <w:p>
      <w:pPr>
        <w:numPr>
          <w:ilvl w:val="0"/>
          <w:numId w:val="0"/>
        </w:numPr>
        <w:adjustRightInd w:val="0"/>
        <w:snapToGrid w:val="0"/>
        <w:spacing w:line="560" w:lineRule="exact"/>
        <w:ind w:leftChars="200"/>
        <w:jc w:val="left"/>
        <w:rPr>
          <w:rFonts w:hint="eastAsia" w:ascii="楷体_GB2312" w:hAnsi="Times New Roman" w:eastAsia="楷体_GB2312" w:cs="Times New Roman"/>
          <w:b/>
          <w:bCs/>
          <w:sz w:val="32"/>
          <w:szCs w:val="32"/>
          <w:lang w:val="en-US" w:eastAsia="zh-CN"/>
        </w:rPr>
      </w:pPr>
      <w:r>
        <w:rPr>
          <w:rFonts w:hint="eastAsia" w:ascii="楷体_GB2312" w:hAnsi="Times New Roman" w:eastAsia="楷体_GB2312" w:cs="Times New Roman"/>
          <w:b/>
          <w:bCs/>
          <w:sz w:val="32"/>
          <w:szCs w:val="32"/>
          <w:lang w:val="en-US" w:eastAsia="zh-CN"/>
        </w:rPr>
        <w:t>1.前期准备：</w:t>
      </w:r>
      <w:r>
        <w:rPr>
          <w:rFonts w:hint="eastAsia" w:ascii="仿宋_GB2312" w:hAnsi="楷体" w:eastAsia="仿宋_GB2312" w:cs="Calibri"/>
          <w:kern w:val="2"/>
          <w:sz w:val="32"/>
          <w:szCs w:val="32"/>
          <w:lang w:val="en-US" w:eastAsia="zh-CN" w:bidi="ar-SA"/>
        </w:rPr>
        <w:t>单位自评，通知各科室配合绩效评价工作</w:t>
      </w:r>
    </w:p>
    <w:p>
      <w:pPr>
        <w:numPr>
          <w:ilvl w:val="0"/>
          <w:numId w:val="0"/>
        </w:numPr>
        <w:adjustRightInd w:val="0"/>
        <w:snapToGrid w:val="0"/>
        <w:spacing w:line="560" w:lineRule="exact"/>
        <w:ind w:leftChars="200"/>
        <w:jc w:val="left"/>
        <w:rPr>
          <w:rFonts w:hint="eastAsia" w:ascii="仿宋_GB2312" w:hAnsi="楷体" w:eastAsia="仿宋_GB2312" w:cs="Calibri"/>
          <w:kern w:val="2"/>
          <w:sz w:val="32"/>
          <w:szCs w:val="32"/>
          <w:lang w:val="en-US" w:eastAsia="zh-CN" w:bidi="ar-SA"/>
        </w:rPr>
      </w:pPr>
      <w:r>
        <w:rPr>
          <w:rFonts w:hint="eastAsia" w:ascii="楷体_GB2312" w:hAnsi="Times New Roman" w:eastAsia="楷体_GB2312" w:cs="Times New Roman"/>
          <w:b/>
          <w:bCs/>
          <w:sz w:val="32"/>
          <w:szCs w:val="32"/>
          <w:lang w:val="en-US" w:eastAsia="zh-CN"/>
        </w:rPr>
        <w:t>2.组织实施：</w:t>
      </w:r>
      <w:r>
        <w:rPr>
          <w:rFonts w:hint="eastAsia" w:ascii="仿宋_GB2312" w:hAnsi="楷体" w:eastAsia="仿宋_GB2312" w:cs="Calibri"/>
          <w:kern w:val="2"/>
          <w:sz w:val="32"/>
          <w:szCs w:val="32"/>
          <w:lang w:val="en-US" w:eastAsia="zh-CN" w:bidi="ar-SA"/>
        </w:rPr>
        <w:t>整理查阅相关项目会计资料，了解使用情况</w:t>
      </w:r>
    </w:p>
    <w:p>
      <w:pPr>
        <w:numPr>
          <w:ilvl w:val="0"/>
          <w:numId w:val="0"/>
        </w:numPr>
        <w:adjustRightInd w:val="0"/>
        <w:snapToGrid w:val="0"/>
        <w:spacing w:line="560" w:lineRule="exact"/>
        <w:ind w:leftChars="200"/>
        <w:jc w:val="left"/>
        <w:rPr>
          <w:rFonts w:hint="eastAsia" w:ascii="仿宋_GB2312" w:hAnsi="楷体" w:eastAsia="仿宋_GB2312" w:cs="Calibri"/>
          <w:kern w:val="2"/>
          <w:sz w:val="32"/>
          <w:szCs w:val="32"/>
          <w:lang w:val="en-US" w:eastAsia="zh-CN" w:bidi="ar-SA"/>
        </w:rPr>
      </w:pPr>
      <w:r>
        <w:rPr>
          <w:rFonts w:hint="eastAsia" w:ascii="楷体_GB2312" w:hAnsi="Times New Roman" w:eastAsia="楷体_GB2312" w:cs="Times New Roman"/>
          <w:b/>
          <w:bCs/>
          <w:sz w:val="32"/>
          <w:szCs w:val="32"/>
          <w:lang w:val="en-US" w:eastAsia="zh-CN"/>
        </w:rPr>
        <w:t>3.分析评价：</w:t>
      </w:r>
      <w:r>
        <w:rPr>
          <w:rFonts w:hint="eastAsia" w:ascii="仿宋_GB2312" w:hAnsi="楷体" w:eastAsia="仿宋_GB2312" w:cs="Calibri"/>
          <w:kern w:val="2"/>
          <w:sz w:val="32"/>
          <w:szCs w:val="32"/>
          <w:lang w:val="en-US" w:eastAsia="zh-CN" w:bidi="ar-SA"/>
        </w:rPr>
        <w:t>分析项目使用情况，根据结果综合评价</w:t>
      </w:r>
    </w:p>
    <w:p>
      <w:pPr>
        <w:adjustRightInd w:val="0"/>
        <w:snapToGrid w:val="0"/>
        <w:spacing w:line="560" w:lineRule="exact"/>
        <w:ind w:firstLine="640" w:firstLineChars="200"/>
        <w:jc w:val="left"/>
        <w:rPr>
          <w:rFonts w:hint="eastAsia" w:ascii="黑体" w:hAnsi="黑体" w:eastAsia="黑体" w:cs="Times New Roman"/>
          <w:sz w:val="32"/>
          <w:szCs w:val="32"/>
        </w:rPr>
      </w:pPr>
      <w:r>
        <w:rPr>
          <w:rFonts w:hint="eastAsia" w:ascii="黑体" w:hAnsi="黑体" w:eastAsia="黑体" w:cs="Times New Roman"/>
          <w:sz w:val="32"/>
          <w:szCs w:val="32"/>
        </w:rPr>
        <w:t>三、综合评价情况及评价结论</w:t>
      </w:r>
    </w:p>
    <w:p>
      <w:pPr>
        <w:numPr>
          <w:ilvl w:val="0"/>
          <w:numId w:val="0"/>
        </w:numPr>
        <w:adjustRightInd w:val="0"/>
        <w:snapToGrid w:val="0"/>
        <w:spacing w:line="560" w:lineRule="exact"/>
        <w:ind w:leftChars="200"/>
        <w:jc w:val="left"/>
        <w:rPr>
          <w:rFonts w:hint="eastAsia" w:ascii="仿宋_GB2312" w:hAnsi="楷体" w:eastAsia="仿宋_GB2312" w:cs="Calibri"/>
          <w:kern w:val="2"/>
          <w:sz w:val="32"/>
          <w:szCs w:val="32"/>
          <w:lang w:val="en-US" w:eastAsia="zh-CN" w:bidi="ar-SA"/>
        </w:rPr>
      </w:pPr>
      <w:r>
        <w:rPr>
          <w:rFonts w:hint="eastAsia" w:ascii="仿宋_GB2312" w:hAnsi="楷体" w:eastAsia="仿宋_GB2312" w:cs="Calibri"/>
          <w:kern w:val="2"/>
          <w:sz w:val="32"/>
          <w:szCs w:val="32"/>
          <w:lang w:val="en-US" w:eastAsia="zh-CN" w:bidi="ar-SA"/>
        </w:rPr>
        <w:t>全年执行数：10分</w:t>
      </w:r>
    </w:p>
    <w:p>
      <w:pPr>
        <w:numPr>
          <w:ilvl w:val="0"/>
          <w:numId w:val="0"/>
        </w:numPr>
        <w:adjustRightInd w:val="0"/>
        <w:snapToGrid w:val="0"/>
        <w:spacing w:line="560" w:lineRule="exact"/>
        <w:ind w:leftChars="200"/>
        <w:jc w:val="left"/>
        <w:rPr>
          <w:rFonts w:hint="eastAsia" w:ascii="仿宋_GB2312" w:hAnsi="楷体" w:eastAsia="仿宋_GB2312" w:cs="Calibri"/>
          <w:kern w:val="2"/>
          <w:sz w:val="32"/>
          <w:szCs w:val="32"/>
          <w:lang w:val="en-US" w:eastAsia="zh-CN" w:bidi="ar-SA"/>
        </w:rPr>
      </w:pPr>
      <w:r>
        <w:rPr>
          <w:rFonts w:hint="eastAsia" w:ascii="仿宋_GB2312" w:hAnsi="楷体" w:eastAsia="仿宋_GB2312" w:cs="Calibri"/>
          <w:kern w:val="2"/>
          <w:sz w:val="32"/>
          <w:szCs w:val="32"/>
          <w:lang w:val="en-US" w:eastAsia="zh-CN" w:bidi="ar-SA"/>
        </w:rPr>
        <w:t>数量指标：10分</w:t>
      </w:r>
    </w:p>
    <w:p>
      <w:pPr>
        <w:numPr>
          <w:ilvl w:val="0"/>
          <w:numId w:val="0"/>
        </w:numPr>
        <w:adjustRightInd w:val="0"/>
        <w:snapToGrid w:val="0"/>
        <w:spacing w:line="560" w:lineRule="exact"/>
        <w:ind w:leftChars="200"/>
        <w:jc w:val="left"/>
        <w:rPr>
          <w:rFonts w:hint="eastAsia" w:ascii="仿宋_GB2312" w:hAnsi="楷体" w:eastAsia="仿宋_GB2312" w:cs="Calibri"/>
          <w:kern w:val="2"/>
          <w:sz w:val="32"/>
          <w:szCs w:val="32"/>
          <w:lang w:val="en-US" w:eastAsia="zh-CN" w:bidi="ar-SA"/>
        </w:rPr>
      </w:pPr>
      <w:r>
        <w:rPr>
          <w:rFonts w:hint="eastAsia" w:ascii="仿宋_GB2312" w:hAnsi="楷体" w:eastAsia="仿宋_GB2312" w:cs="Calibri"/>
          <w:kern w:val="2"/>
          <w:sz w:val="32"/>
          <w:szCs w:val="32"/>
          <w:lang w:val="en-US" w:eastAsia="zh-CN" w:bidi="ar-SA"/>
        </w:rPr>
        <w:t>质量指标：30分</w:t>
      </w:r>
    </w:p>
    <w:p>
      <w:pPr>
        <w:numPr>
          <w:ilvl w:val="0"/>
          <w:numId w:val="0"/>
        </w:numPr>
        <w:adjustRightInd w:val="0"/>
        <w:snapToGrid w:val="0"/>
        <w:spacing w:line="560" w:lineRule="exact"/>
        <w:ind w:leftChars="200"/>
        <w:jc w:val="left"/>
        <w:rPr>
          <w:rFonts w:hint="eastAsia" w:ascii="仿宋_GB2312" w:hAnsi="楷体" w:eastAsia="仿宋_GB2312" w:cs="Calibri"/>
          <w:kern w:val="2"/>
          <w:sz w:val="32"/>
          <w:szCs w:val="32"/>
          <w:lang w:val="en-US" w:eastAsia="zh-CN" w:bidi="ar-SA"/>
        </w:rPr>
      </w:pPr>
      <w:r>
        <w:rPr>
          <w:rFonts w:hint="eastAsia" w:ascii="仿宋_GB2312" w:hAnsi="楷体" w:eastAsia="仿宋_GB2312" w:cs="Calibri"/>
          <w:kern w:val="2"/>
          <w:sz w:val="32"/>
          <w:szCs w:val="32"/>
          <w:lang w:val="en-US" w:eastAsia="zh-CN" w:bidi="ar-SA"/>
        </w:rPr>
        <w:t>时效指标：10分</w:t>
      </w:r>
    </w:p>
    <w:p>
      <w:pPr>
        <w:numPr>
          <w:ilvl w:val="0"/>
          <w:numId w:val="0"/>
        </w:numPr>
        <w:adjustRightInd w:val="0"/>
        <w:snapToGrid w:val="0"/>
        <w:spacing w:line="560" w:lineRule="exact"/>
        <w:ind w:leftChars="200"/>
        <w:jc w:val="left"/>
        <w:rPr>
          <w:rFonts w:hint="eastAsia" w:ascii="仿宋_GB2312" w:hAnsi="楷体" w:eastAsia="仿宋_GB2312" w:cs="Calibri"/>
          <w:kern w:val="2"/>
          <w:sz w:val="32"/>
          <w:szCs w:val="32"/>
          <w:lang w:val="en-US" w:eastAsia="zh-CN" w:bidi="ar-SA"/>
        </w:rPr>
      </w:pPr>
      <w:r>
        <w:rPr>
          <w:rFonts w:hint="eastAsia" w:ascii="仿宋_GB2312" w:hAnsi="楷体" w:eastAsia="仿宋_GB2312" w:cs="Calibri"/>
          <w:kern w:val="2"/>
          <w:sz w:val="32"/>
          <w:szCs w:val="32"/>
          <w:lang w:val="en-US" w:eastAsia="zh-CN" w:bidi="ar-SA"/>
        </w:rPr>
        <w:t>社会效益指标：15分</w:t>
      </w:r>
    </w:p>
    <w:p>
      <w:pPr>
        <w:numPr>
          <w:ilvl w:val="0"/>
          <w:numId w:val="0"/>
        </w:numPr>
        <w:adjustRightInd w:val="0"/>
        <w:snapToGrid w:val="0"/>
        <w:spacing w:line="560" w:lineRule="exact"/>
        <w:ind w:leftChars="200"/>
        <w:jc w:val="left"/>
        <w:rPr>
          <w:rFonts w:hint="eastAsia" w:ascii="仿宋_GB2312" w:hAnsi="楷体" w:eastAsia="仿宋_GB2312" w:cs="Calibri"/>
          <w:kern w:val="2"/>
          <w:sz w:val="32"/>
          <w:szCs w:val="32"/>
          <w:lang w:val="en-US" w:eastAsia="zh-CN" w:bidi="ar-SA"/>
        </w:rPr>
      </w:pPr>
      <w:r>
        <w:rPr>
          <w:rFonts w:hint="eastAsia" w:ascii="仿宋_GB2312" w:hAnsi="楷体" w:eastAsia="仿宋_GB2312" w:cs="Calibri"/>
          <w:kern w:val="2"/>
          <w:sz w:val="32"/>
          <w:szCs w:val="32"/>
          <w:lang w:val="en-US" w:eastAsia="zh-CN" w:bidi="ar-SA"/>
        </w:rPr>
        <w:t>生态效益指标：15分</w:t>
      </w:r>
    </w:p>
    <w:p>
      <w:pPr>
        <w:numPr>
          <w:ilvl w:val="0"/>
          <w:numId w:val="0"/>
        </w:numPr>
        <w:adjustRightInd w:val="0"/>
        <w:snapToGrid w:val="0"/>
        <w:spacing w:line="560" w:lineRule="exact"/>
        <w:ind w:leftChars="200"/>
        <w:jc w:val="left"/>
        <w:rPr>
          <w:rFonts w:hint="eastAsia" w:ascii="仿宋_GB2312" w:hAnsi="楷体" w:eastAsia="仿宋_GB2312" w:cs="Calibri"/>
          <w:kern w:val="2"/>
          <w:sz w:val="32"/>
          <w:szCs w:val="32"/>
          <w:lang w:val="en-US" w:eastAsia="zh-CN" w:bidi="ar-SA"/>
        </w:rPr>
      </w:pPr>
      <w:r>
        <w:rPr>
          <w:rFonts w:hint="eastAsia" w:ascii="仿宋_GB2312" w:hAnsi="楷体" w:eastAsia="仿宋_GB2312" w:cs="Calibri"/>
          <w:kern w:val="2"/>
          <w:sz w:val="32"/>
          <w:szCs w:val="32"/>
          <w:lang w:val="en-US" w:eastAsia="zh-CN" w:bidi="ar-SA"/>
        </w:rPr>
        <w:t>服务对象满意度指：10分</w:t>
      </w:r>
    </w:p>
    <w:p>
      <w:pPr>
        <w:adjustRightInd w:val="0"/>
        <w:snapToGrid w:val="0"/>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四、绩效评价指标分析</w:t>
      </w:r>
    </w:p>
    <w:p>
      <w:pPr>
        <w:adjustRightInd w:val="0"/>
        <w:snapToGrid w:val="0"/>
        <w:spacing w:line="560" w:lineRule="exact"/>
        <w:ind w:firstLine="643" w:firstLineChars="200"/>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（一）项目决策情况</w:t>
      </w:r>
    </w:p>
    <w:p>
      <w:pPr>
        <w:adjustRightInd w:val="0"/>
        <w:snapToGrid w:val="0"/>
        <w:spacing w:line="560" w:lineRule="exact"/>
        <w:ind w:firstLine="640" w:firstLineChars="200"/>
        <w:rPr>
          <w:rFonts w:hint="eastAsia" w:ascii="楷体_GB2312" w:hAnsi="Times New Roman" w:eastAsia="楷体_GB2312" w:cs="Times New Roman"/>
          <w:b/>
          <w:bCs/>
          <w:sz w:val="32"/>
          <w:szCs w:val="32"/>
          <w:lang w:val="en-US" w:eastAsia="zh-CN"/>
        </w:rPr>
      </w:pPr>
      <w:r>
        <w:rPr>
          <w:rFonts w:hint="eastAsia" w:ascii="仿宋_GB2312" w:hAnsi="楷体" w:eastAsia="仿宋_GB2312" w:cs="Calibri"/>
          <w:kern w:val="2"/>
          <w:sz w:val="32"/>
          <w:szCs w:val="32"/>
          <w:lang w:val="en-US" w:eastAsia="zh-CN" w:bidi="ar-SA"/>
        </w:rPr>
        <w:t>本项目是根据我院每年实际支出的各项费用，包括水费、电费、办公费、印刷费、其他交通费、公车运行维护费等费用进行年初预算，用于保障医院正常运转。</w:t>
      </w:r>
    </w:p>
    <w:p>
      <w:pPr>
        <w:numPr>
          <w:ilvl w:val="0"/>
          <w:numId w:val="2"/>
        </w:numPr>
        <w:adjustRightInd w:val="0"/>
        <w:snapToGrid w:val="0"/>
        <w:spacing w:line="560" w:lineRule="exact"/>
        <w:ind w:firstLine="643" w:firstLineChars="200"/>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项目过程情况</w:t>
      </w:r>
    </w:p>
    <w:p>
      <w:pPr>
        <w:adjustRightInd w:val="0"/>
        <w:snapToGrid w:val="0"/>
        <w:spacing w:line="560" w:lineRule="exact"/>
        <w:ind w:firstLine="640" w:firstLineChars="200"/>
        <w:rPr>
          <w:rFonts w:hint="eastAsia" w:ascii="仿宋_GB2312" w:hAnsi="楷体" w:eastAsia="仿宋_GB2312" w:cs="Calibri"/>
          <w:kern w:val="2"/>
          <w:sz w:val="32"/>
          <w:szCs w:val="32"/>
          <w:lang w:val="en-US" w:eastAsia="zh-CN" w:bidi="ar-SA"/>
        </w:rPr>
      </w:pPr>
      <w:r>
        <w:rPr>
          <w:rFonts w:hint="eastAsia" w:ascii="仿宋_GB2312" w:hAnsi="楷体" w:eastAsia="仿宋_GB2312" w:cs="Calibri"/>
          <w:kern w:val="2"/>
          <w:sz w:val="32"/>
          <w:szCs w:val="32"/>
          <w:lang w:val="en-US" w:eastAsia="zh-CN" w:bidi="ar-SA"/>
        </w:rPr>
        <w:t>由各个科室根据上年费用的支出情况预算将会发生的费用，上报财务科，由财务科汇总并根据医院实际情况进行合理分配项目金额进行预算。</w:t>
      </w:r>
    </w:p>
    <w:p>
      <w:pPr>
        <w:numPr>
          <w:ilvl w:val="0"/>
          <w:numId w:val="2"/>
        </w:numPr>
        <w:adjustRightInd w:val="0"/>
        <w:snapToGrid w:val="0"/>
        <w:spacing w:line="560" w:lineRule="exact"/>
        <w:ind w:left="0" w:leftChars="0" w:firstLine="643" w:firstLineChars="200"/>
        <w:rPr>
          <w:rFonts w:hint="eastAsia" w:ascii="楷体_GB2312" w:hAnsi="Times New Roman" w:eastAsia="楷体_GB2312" w:cs="Times New Roman"/>
          <w:b/>
          <w:bCs/>
          <w:sz w:val="32"/>
          <w:szCs w:val="32"/>
        </w:rPr>
      </w:pPr>
      <w:r>
        <w:rPr>
          <w:rFonts w:hint="eastAsia" w:ascii="楷体_GB2312" w:hAnsi="Times New Roman" w:eastAsia="楷体_GB2312" w:cs="Times New Roman"/>
          <w:b/>
          <w:bCs/>
          <w:sz w:val="32"/>
          <w:szCs w:val="32"/>
        </w:rPr>
        <w:t>项目产出情况</w:t>
      </w:r>
    </w:p>
    <w:p>
      <w:pPr>
        <w:adjustRightInd w:val="0"/>
        <w:snapToGrid w:val="0"/>
        <w:spacing w:line="560" w:lineRule="exact"/>
        <w:ind w:firstLine="640" w:firstLineChars="200"/>
        <w:rPr>
          <w:rFonts w:hint="eastAsia" w:ascii="仿宋_GB2312" w:hAnsi="楷体" w:eastAsia="仿宋_GB2312" w:cs="Calibri"/>
          <w:kern w:val="2"/>
          <w:sz w:val="32"/>
          <w:szCs w:val="32"/>
          <w:lang w:val="en-US" w:eastAsia="zh-CN" w:bidi="ar-SA"/>
        </w:rPr>
      </w:pPr>
      <w:r>
        <w:rPr>
          <w:rFonts w:hint="eastAsia" w:ascii="仿宋_GB2312" w:hAnsi="楷体" w:eastAsia="仿宋_GB2312" w:cs="Calibri"/>
          <w:kern w:val="2"/>
          <w:sz w:val="32"/>
          <w:szCs w:val="32"/>
          <w:lang w:val="en-US" w:eastAsia="zh-CN" w:bidi="ar-SA"/>
        </w:rPr>
        <w:t>该项目保证了传染病医院的正常运转，保障了新冠疫情防控工作的顺利开展。</w:t>
      </w:r>
    </w:p>
    <w:p>
      <w:pPr>
        <w:numPr>
          <w:ilvl w:val="0"/>
          <w:numId w:val="3"/>
        </w:numPr>
        <w:adjustRightInd w:val="0"/>
        <w:snapToGrid w:val="0"/>
        <w:spacing w:line="560" w:lineRule="exact"/>
        <w:ind w:left="420" w:leftChars="200" w:firstLine="320" w:firstLineChars="100"/>
        <w:rPr>
          <w:rFonts w:hint="eastAsia" w:ascii="黑体" w:hAnsi="黑体" w:eastAsia="黑体" w:cs="Times New Roman"/>
          <w:sz w:val="32"/>
          <w:szCs w:val="32"/>
        </w:rPr>
      </w:pPr>
      <w:r>
        <w:rPr>
          <w:rFonts w:hint="eastAsia" w:ascii="黑体" w:hAnsi="黑体" w:eastAsia="黑体" w:cs="Times New Roman"/>
          <w:sz w:val="32"/>
          <w:szCs w:val="32"/>
        </w:rPr>
        <w:t>主要经验及做法</w:t>
      </w:r>
    </w:p>
    <w:p>
      <w:pPr>
        <w:adjustRightInd w:val="0"/>
        <w:snapToGrid w:val="0"/>
        <w:spacing w:line="560" w:lineRule="exact"/>
        <w:ind w:firstLine="640" w:firstLineChars="200"/>
        <w:rPr>
          <w:rFonts w:hint="eastAsia" w:ascii="仿宋_GB2312" w:hAnsi="楷体" w:eastAsia="仿宋_GB2312" w:cs="Calibri"/>
          <w:kern w:val="2"/>
          <w:sz w:val="32"/>
          <w:szCs w:val="32"/>
          <w:lang w:val="en-US" w:eastAsia="zh-CN" w:bidi="ar-SA"/>
        </w:rPr>
      </w:pPr>
      <w:r>
        <w:rPr>
          <w:rFonts w:hint="eastAsia" w:ascii="仿宋_GB2312" w:hAnsi="楷体" w:eastAsia="仿宋_GB2312" w:cs="Calibri"/>
          <w:kern w:val="2"/>
          <w:sz w:val="32"/>
          <w:szCs w:val="32"/>
          <w:lang w:val="en-US" w:eastAsia="zh-CN" w:bidi="ar-SA"/>
        </w:rPr>
        <w:t>我院一直致力于救死扶伤，尤其是在新冠疫情发生之后，我院一直兢兢业业为新冠疫情防控工作，费用也大量增加，我院依旧按照资金使用原则，严格审核各项支出票据，不符合规定的予以退回，手续不齐全的责令其补齐手续，符合规定且手续齐全的支出方可进行支出。</w:t>
      </w:r>
    </w:p>
    <w:p>
      <w:pPr>
        <w:numPr>
          <w:ilvl w:val="0"/>
          <w:numId w:val="3"/>
        </w:numPr>
        <w:adjustRightInd w:val="0"/>
        <w:snapToGrid w:val="0"/>
        <w:spacing w:line="560" w:lineRule="exact"/>
        <w:ind w:left="420" w:leftChars="200" w:firstLine="320" w:firstLineChars="100"/>
        <w:rPr>
          <w:rFonts w:hint="eastAsia" w:ascii="黑体" w:hAnsi="黑体" w:eastAsia="黑体" w:cs="Times New Roman"/>
          <w:sz w:val="32"/>
          <w:szCs w:val="32"/>
        </w:rPr>
      </w:pPr>
      <w:r>
        <w:rPr>
          <w:rFonts w:hint="eastAsia" w:ascii="黑体" w:hAnsi="黑体" w:eastAsia="黑体" w:cs="Times New Roman"/>
          <w:sz w:val="32"/>
          <w:szCs w:val="32"/>
        </w:rPr>
        <w:t>下一步工作打算</w:t>
      </w:r>
    </w:p>
    <w:p>
      <w:pPr>
        <w:adjustRightInd w:val="0"/>
        <w:snapToGrid w:val="0"/>
        <w:spacing w:line="560" w:lineRule="exact"/>
        <w:ind w:firstLine="640" w:firstLineChars="200"/>
        <w:rPr>
          <w:rFonts w:hint="eastAsia" w:ascii="仿宋_GB2312" w:hAnsi="楷体" w:eastAsia="仿宋_GB2312" w:cs="Calibri"/>
          <w:kern w:val="2"/>
          <w:sz w:val="32"/>
          <w:szCs w:val="32"/>
          <w:lang w:val="en-US" w:eastAsia="zh-CN" w:bidi="ar-SA"/>
        </w:rPr>
      </w:pPr>
      <w:r>
        <w:rPr>
          <w:rFonts w:hint="eastAsia" w:ascii="仿宋_GB2312" w:hAnsi="楷体" w:eastAsia="仿宋_GB2312" w:cs="Calibri"/>
          <w:kern w:val="2"/>
          <w:sz w:val="32"/>
          <w:szCs w:val="32"/>
          <w:lang w:val="en-US" w:eastAsia="zh-CN" w:bidi="ar-SA"/>
        </w:rPr>
        <w:t>继续按照序时进度根据实际发生费用完成支付，保障传染病医院的正常运转，维持新冠疫情防控工作正常进行。</w:t>
      </w:r>
    </w:p>
    <w:p>
      <w:pPr>
        <w:adjustRightInd w:val="0"/>
        <w:snapToGrid w:val="0"/>
        <w:spacing w:line="560" w:lineRule="exact"/>
        <w:ind w:firstLine="640" w:firstLineChars="200"/>
        <w:rPr>
          <w:rFonts w:hint="eastAsia" w:ascii="仿宋_GB2312" w:hAnsi="楷体" w:eastAsia="仿宋_GB2312" w:cs="Calibri"/>
          <w:kern w:val="2"/>
          <w:sz w:val="32"/>
          <w:szCs w:val="32"/>
          <w:lang w:val="en-US" w:eastAsia="zh-CN" w:bidi="ar-SA"/>
        </w:rPr>
      </w:pPr>
    </w:p>
    <w:sectPr>
      <w:pgSz w:w="11906" w:h="16838"/>
      <w:pgMar w:top="2098" w:right="1474" w:bottom="1985"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Arial Unicode MS">
    <w:panose1 w:val="020B0604020202020204"/>
    <w:charset w:val="86"/>
    <w:family w:val="swiss"/>
    <w:pitch w:val="default"/>
    <w:sig w:usb0="FFFFFFFF" w:usb1="E9FFFFFF" w:usb2="0000003F" w:usb3="00000000" w:csb0="603F01FF" w:csb1="FFFF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64B08"/>
    <w:multiLevelType w:val="singleLevel"/>
    <w:tmpl w:val="37064B08"/>
    <w:lvl w:ilvl="0" w:tentative="0">
      <w:start w:val="5"/>
      <w:numFmt w:val="chineseCounting"/>
      <w:suff w:val="nothing"/>
      <w:lvlText w:val="%1、"/>
      <w:lvlJc w:val="left"/>
      <w:rPr>
        <w:rFonts w:hint="eastAsia"/>
      </w:rPr>
    </w:lvl>
  </w:abstractNum>
  <w:abstractNum w:abstractNumId="1">
    <w:nsid w:val="496B01B2"/>
    <w:multiLevelType w:val="singleLevel"/>
    <w:tmpl w:val="496B01B2"/>
    <w:lvl w:ilvl="0" w:tentative="0">
      <w:start w:val="2"/>
      <w:numFmt w:val="chineseCounting"/>
      <w:suff w:val="nothing"/>
      <w:lvlText w:val="（%1）"/>
      <w:lvlJc w:val="left"/>
      <w:rPr>
        <w:rFonts w:hint="eastAsia"/>
      </w:rPr>
    </w:lvl>
  </w:abstractNum>
  <w:abstractNum w:abstractNumId="2">
    <w:nsid w:val="7010568D"/>
    <w:multiLevelType w:val="singleLevel"/>
    <w:tmpl w:val="7010568D"/>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292"/>
    <w:rsid w:val="0005560F"/>
    <w:rsid w:val="000A04A0"/>
    <w:rsid w:val="000B0DFA"/>
    <w:rsid w:val="000B6C80"/>
    <w:rsid w:val="000D7424"/>
    <w:rsid w:val="001307E5"/>
    <w:rsid w:val="00143F3C"/>
    <w:rsid w:val="001B6DA8"/>
    <w:rsid w:val="001C72DE"/>
    <w:rsid w:val="001D481C"/>
    <w:rsid w:val="001D749F"/>
    <w:rsid w:val="001E3EEC"/>
    <w:rsid w:val="00202E1C"/>
    <w:rsid w:val="0023094D"/>
    <w:rsid w:val="00236373"/>
    <w:rsid w:val="00247972"/>
    <w:rsid w:val="00254821"/>
    <w:rsid w:val="002667E9"/>
    <w:rsid w:val="002861C8"/>
    <w:rsid w:val="002D2247"/>
    <w:rsid w:val="00315F10"/>
    <w:rsid w:val="003223C3"/>
    <w:rsid w:val="003763D9"/>
    <w:rsid w:val="00485D8C"/>
    <w:rsid w:val="004A62A5"/>
    <w:rsid w:val="004C1EDA"/>
    <w:rsid w:val="004C77E0"/>
    <w:rsid w:val="004E03E2"/>
    <w:rsid w:val="00503D98"/>
    <w:rsid w:val="005046CB"/>
    <w:rsid w:val="00520C04"/>
    <w:rsid w:val="0053192F"/>
    <w:rsid w:val="00541095"/>
    <w:rsid w:val="0054427F"/>
    <w:rsid w:val="00547B11"/>
    <w:rsid w:val="00553879"/>
    <w:rsid w:val="005A1C2C"/>
    <w:rsid w:val="005B0F3A"/>
    <w:rsid w:val="005F6646"/>
    <w:rsid w:val="005F78E3"/>
    <w:rsid w:val="00633320"/>
    <w:rsid w:val="00646619"/>
    <w:rsid w:val="006A04EE"/>
    <w:rsid w:val="006A2049"/>
    <w:rsid w:val="006A4840"/>
    <w:rsid w:val="006D37A2"/>
    <w:rsid w:val="006E1705"/>
    <w:rsid w:val="006E724D"/>
    <w:rsid w:val="0075431C"/>
    <w:rsid w:val="0075454D"/>
    <w:rsid w:val="007547A5"/>
    <w:rsid w:val="00771738"/>
    <w:rsid w:val="0079085C"/>
    <w:rsid w:val="007A3538"/>
    <w:rsid w:val="007C6DFE"/>
    <w:rsid w:val="00823987"/>
    <w:rsid w:val="00854C7C"/>
    <w:rsid w:val="00877F20"/>
    <w:rsid w:val="00880A66"/>
    <w:rsid w:val="008A7A84"/>
    <w:rsid w:val="009147F1"/>
    <w:rsid w:val="00975064"/>
    <w:rsid w:val="00987292"/>
    <w:rsid w:val="009A17C2"/>
    <w:rsid w:val="009F5F6D"/>
    <w:rsid w:val="00A60B24"/>
    <w:rsid w:val="00A65E66"/>
    <w:rsid w:val="00A76287"/>
    <w:rsid w:val="00AD0654"/>
    <w:rsid w:val="00AE7FE4"/>
    <w:rsid w:val="00B02FAD"/>
    <w:rsid w:val="00B273FC"/>
    <w:rsid w:val="00B62858"/>
    <w:rsid w:val="00B8443A"/>
    <w:rsid w:val="00B8710D"/>
    <w:rsid w:val="00BB09FF"/>
    <w:rsid w:val="00BD54A0"/>
    <w:rsid w:val="00C00F6C"/>
    <w:rsid w:val="00C01121"/>
    <w:rsid w:val="00C1727F"/>
    <w:rsid w:val="00C60770"/>
    <w:rsid w:val="00C63D88"/>
    <w:rsid w:val="00CC6A63"/>
    <w:rsid w:val="00CE64A8"/>
    <w:rsid w:val="00CE70F9"/>
    <w:rsid w:val="00CF4BE9"/>
    <w:rsid w:val="00D411B5"/>
    <w:rsid w:val="00D4298D"/>
    <w:rsid w:val="00D72B58"/>
    <w:rsid w:val="00DC412B"/>
    <w:rsid w:val="00DE6EFA"/>
    <w:rsid w:val="00E02871"/>
    <w:rsid w:val="00E1277E"/>
    <w:rsid w:val="00E22A16"/>
    <w:rsid w:val="00E373A4"/>
    <w:rsid w:val="00EB2FE9"/>
    <w:rsid w:val="00EC22AD"/>
    <w:rsid w:val="00EF329D"/>
    <w:rsid w:val="00EF66D9"/>
    <w:rsid w:val="00F031D6"/>
    <w:rsid w:val="00F044C4"/>
    <w:rsid w:val="00F1335C"/>
    <w:rsid w:val="00F42454"/>
    <w:rsid w:val="00F81C78"/>
    <w:rsid w:val="00FB230D"/>
    <w:rsid w:val="00FF0D1A"/>
    <w:rsid w:val="00FF7665"/>
    <w:rsid w:val="0290547D"/>
    <w:rsid w:val="0E12702D"/>
    <w:rsid w:val="1AC3084A"/>
    <w:rsid w:val="24C43A4E"/>
    <w:rsid w:val="28ED51B7"/>
    <w:rsid w:val="2E856293"/>
    <w:rsid w:val="36173D3F"/>
    <w:rsid w:val="36B7E01A"/>
    <w:rsid w:val="373D1313"/>
    <w:rsid w:val="3A7074E8"/>
    <w:rsid w:val="3B3BB5FD"/>
    <w:rsid w:val="3BF436F6"/>
    <w:rsid w:val="3D0D0673"/>
    <w:rsid w:val="3DE41151"/>
    <w:rsid w:val="3DF75D12"/>
    <w:rsid w:val="3E072944"/>
    <w:rsid w:val="3EBC356A"/>
    <w:rsid w:val="3EDBCCCE"/>
    <w:rsid w:val="3F6FDDEF"/>
    <w:rsid w:val="3F7D6778"/>
    <w:rsid w:val="3FDF6667"/>
    <w:rsid w:val="41F7746F"/>
    <w:rsid w:val="45EB1A13"/>
    <w:rsid w:val="470C28A6"/>
    <w:rsid w:val="48BE02A5"/>
    <w:rsid w:val="4FB568A2"/>
    <w:rsid w:val="516449E3"/>
    <w:rsid w:val="52070C2F"/>
    <w:rsid w:val="55786920"/>
    <w:rsid w:val="557FEDDD"/>
    <w:rsid w:val="577740E2"/>
    <w:rsid w:val="57C96E2E"/>
    <w:rsid w:val="59585799"/>
    <w:rsid w:val="59DF0ACD"/>
    <w:rsid w:val="5A5917A5"/>
    <w:rsid w:val="656A7ADD"/>
    <w:rsid w:val="68FF979B"/>
    <w:rsid w:val="698B4C5A"/>
    <w:rsid w:val="6D0F0EC0"/>
    <w:rsid w:val="6FC17094"/>
    <w:rsid w:val="73F70F9D"/>
    <w:rsid w:val="7BEDB720"/>
    <w:rsid w:val="7BF7FD39"/>
    <w:rsid w:val="7BFD2E9B"/>
    <w:rsid w:val="7DF7E7E8"/>
    <w:rsid w:val="7E8DC4C9"/>
    <w:rsid w:val="7EE7D3F8"/>
    <w:rsid w:val="7F09A5F2"/>
    <w:rsid w:val="7F7B8A89"/>
    <w:rsid w:val="7FDFAFB1"/>
    <w:rsid w:val="7FFAB9DC"/>
    <w:rsid w:val="7FFFCBEC"/>
    <w:rsid w:val="7FFFF437"/>
    <w:rsid w:val="AF7B81E1"/>
    <w:rsid w:val="BFDFA3D2"/>
    <w:rsid w:val="C57E2E26"/>
    <w:rsid w:val="DDFF4FF0"/>
    <w:rsid w:val="DEFBFB65"/>
    <w:rsid w:val="DFF8B594"/>
    <w:rsid w:val="DFFD22B6"/>
    <w:rsid w:val="E7FE9ACE"/>
    <w:rsid w:val="E7FF7711"/>
    <w:rsid w:val="F3DFEBD5"/>
    <w:rsid w:val="F77B107F"/>
    <w:rsid w:val="F78F2F05"/>
    <w:rsid w:val="F7BB4298"/>
    <w:rsid w:val="F7FA8592"/>
    <w:rsid w:val="F7FE00DB"/>
    <w:rsid w:val="FCEBF22B"/>
    <w:rsid w:val="FEE72A62"/>
    <w:rsid w:val="FFF73BE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semiHidden="0"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Calibri" w:hAnsi="Calibri" w:eastAsia="宋体" w:cs="Calibri"/>
      <w:kern w:val="2"/>
      <w:sz w:val="21"/>
      <w:szCs w:val="21"/>
      <w:lang w:val="en-US" w:eastAsia="zh-CN" w:bidi="ar-SA"/>
    </w:rPr>
  </w:style>
  <w:style w:type="paragraph" w:styleId="2">
    <w:name w:val="heading 1"/>
    <w:basedOn w:val="1"/>
    <w:next w:val="1"/>
    <w:qFormat/>
    <w:uiPriority w:val="9"/>
    <w:pPr>
      <w:outlineLvl w:val="0"/>
    </w:pPr>
    <w:rPr>
      <w:rFonts w:ascii="方正小标宋简体" w:hAnsi="方正小标宋简体" w:eastAsia="方正小标宋简体"/>
      <w:sz w:val="36"/>
      <w:szCs w:val="36"/>
    </w:rPr>
  </w:style>
  <w:style w:type="character" w:default="1" w:styleId="9">
    <w:name w:val="Default Paragraph Font"/>
    <w:semiHidden/>
    <w:unhideWhenUsed/>
    <w:qFormat/>
    <w:uiPriority w:val="1"/>
  </w:style>
  <w:style w:type="table" w:default="1" w:styleId="10">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5"/>
    <w:semiHidden/>
    <w:unhideWhenUsed/>
    <w:qFormat/>
    <w:uiPriority w:val="99"/>
    <w:pPr>
      <w:spacing w:after="120"/>
      <w:ind w:left="420" w:leftChars="200"/>
    </w:pPr>
  </w:style>
  <w:style w:type="paragraph" w:styleId="4">
    <w:name w:val="Body Text Indent 2"/>
    <w:basedOn w:val="1"/>
    <w:link w:val="13"/>
    <w:qFormat/>
    <w:uiPriority w:val="0"/>
    <w:pPr>
      <w:widowControl w:val="0"/>
      <w:spacing w:line="400" w:lineRule="exact"/>
      <w:ind w:firstLine="560" w:firstLineChars="200"/>
    </w:pPr>
    <w:rPr>
      <w:rFonts w:ascii="仿宋_GB2312" w:eastAsia="仿宋_GB2312" w:hAnsiTheme="minorHAnsi" w:cstheme="minorBidi"/>
      <w:sz w:val="28"/>
      <w:szCs w:val="24"/>
    </w:rPr>
  </w:style>
  <w:style w:type="paragraph" w:styleId="5">
    <w:name w:val="Balloon Text"/>
    <w:basedOn w:val="1"/>
    <w:link w:val="18"/>
    <w:semiHidden/>
    <w:unhideWhenUsed/>
    <w:qFormat/>
    <w:uiPriority w:val="99"/>
    <w:rPr>
      <w:sz w:val="18"/>
      <w:szCs w:val="18"/>
    </w:r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100" w:beforeAutospacing="1" w:after="100" w:afterAutospacing="1"/>
      <w:jc w:val="left"/>
    </w:pPr>
    <w:rPr>
      <w:rFonts w:ascii="宋体" w:hAnsi="宋体" w:cs="宋体"/>
      <w:kern w:val="0"/>
      <w:sz w:val="24"/>
      <w:szCs w:val="24"/>
    </w:rPr>
  </w:style>
  <w:style w:type="character" w:customStyle="1" w:styleId="11">
    <w:name w:val="页眉 Char"/>
    <w:basedOn w:val="9"/>
    <w:link w:val="7"/>
    <w:qFormat/>
    <w:uiPriority w:val="99"/>
    <w:rPr>
      <w:sz w:val="18"/>
      <w:szCs w:val="18"/>
    </w:rPr>
  </w:style>
  <w:style w:type="character" w:customStyle="1" w:styleId="12">
    <w:name w:val="页脚 Char"/>
    <w:basedOn w:val="9"/>
    <w:link w:val="6"/>
    <w:qFormat/>
    <w:uiPriority w:val="99"/>
    <w:rPr>
      <w:sz w:val="18"/>
      <w:szCs w:val="18"/>
    </w:rPr>
  </w:style>
  <w:style w:type="character" w:customStyle="1" w:styleId="13">
    <w:name w:val="正文文本缩进 2 Char"/>
    <w:link w:val="4"/>
    <w:qFormat/>
    <w:uiPriority w:val="0"/>
    <w:rPr>
      <w:rFonts w:ascii="仿宋_GB2312" w:eastAsia="仿宋_GB2312"/>
      <w:sz w:val="28"/>
      <w:szCs w:val="24"/>
    </w:rPr>
  </w:style>
  <w:style w:type="character" w:customStyle="1" w:styleId="14">
    <w:name w:val="正文文本缩进 2 Char1"/>
    <w:basedOn w:val="9"/>
    <w:semiHidden/>
    <w:qFormat/>
    <w:uiPriority w:val="99"/>
    <w:rPr>
      <w:rFonts w:ascii="Calibri" w:hAnsi="Calibri" w:eastAsia="宋体" w:cs="Calibri"/>
      <w:szCs w:val="21"/>
    </w:rPr>
  </w:style>
  <w:style w:type="character" w:customStyle="1" w:styleId="15">
    <w:name w:val="正文文本缩进 Char"/>
    <w:basedOn w:val="9"/>
    <w:link w:val="3"/>
    <w:semiHidden/>
    <w:qFormat/>
    <w:uiPriority w:val="99"/>
    <w:rPr>
      <w:rFonts w:ascii="Calibri" w:hAnsi="Calibri" w:eastAsia="宋体" w:cs="Calibri"/>
      <w:szCs w:val="21"/>
    </w:rPr>
  </w:style>
  <w:style w:type="character" w:customStyle="1" w:styleId="16">
    <w:name w:val="apple-style-span"/>
    <w:basedOn w:val="9"/>
    <w:qFormat/>
    <w:uiPriority w:val="0"/>
  </w:style>
  <w:style w:type="paragraph" w:customStyle="1" w:styleId="17">
    <w:name w:val="正文 A"/>
    <w:qFormat/>
    <w:uiPriority w:val="0"/>
    <w:pPr>
      <w:framePr w:wrap="around" w:vAnchor="margin" w:hAnchor="text" w:y="1"/>
      <w:widowControl w:val="0"/>
      <w:jc w:val="both"/>
    </w:pPr>
    <w:rPr>
      <w:rFonts w:hint="eastAsia" w:ascii="Arial Unicode MS" w:hAnsi="Arial Unicode MS" w:eastAsia="Arial Unicode MS" w:cs="Arial Unicode MS"/>
      <w:color w:val="000000"/>
      <w:kern w:val="2"/>
      <w:sz w:val="21"/>
      <w:szCs w:val="21"/>
      <w:lang w:val="en-US" w:eastAsia="zh-CN" w:bidi="ar-SA"/>
    </w:rPr>
  </w:style>
  <w:style w:type="character" w:customStyle="1" w:styleId="18">
    <w:name w:val="批注框文本 Char"/>
    <w:basedOn w:val="9"/>
    <w:link w:val="5"/>
    <w:semiHidden/>
    <w:qFormat/>
    <w:uiPriority w:val="99"/>
    <w:rPr>
      <w:rFonts w:ascii="Calibri" w:hAnsi="Calibri" w:eastAsia="宋体" w:cs="Calibri"/>
      <w:kern w:val="2"/>
      <w:sz w:val="18"/>
      <w:szCs w:val="18"/>
    </w:rPr>
  </w:style>
  <w:style w:type="table" w:customStyle="1" w:styleId="19">
    <w:name w:val="Table Normal"/>
    <w:semiHidden/>
    <w:unhideWhenUsed/>
    <w:qFormat/>
    <w:uiPriority w:val="2"/>
    <w:pPr>
      <w:widowControl w:val="0"/>
    </w:pPr>
    <w:rPr>
      <w:sz w:val="22"/>
      <w:lang w:eastAsia="en-US"/>
    </w:rPr>
    <w:tblPr>
      <w:tblLayout w:type="fixed"/>
      <w:tblCellMar>
        <w:top w:w="0" w:type="dxa"/>
        <w:left w:w="0" w:type="dxa"/>
        <w:bottom w:w="0" w:type="dxa"/>
        <w:right w:w="0" w:type="dxa"/>
      </w:tblCellMar>
    </w:tblPr>
  </w:style>
  <w:style w:type="paragraph" w:customStyle="1" w:styleId="20">
    <w:name w:val="Table Paragraph"/>
    <w:basedOn w:val="1"/>
    <w:qFormat/>
    <w:uiPriority w:val="1"/>
    <w:pPr>
      <w:widowControl w:val="0"/>
      <w:jc w:val="left"/>
    </w:pPr>
    <w:rPr>
      <w:rFonts w:asciiTheme="minorHAnsi" w:hAnsiTheme="minorHAnsi" w:eastAsiaTheme="minorEastAsia" w:cstheme="minorBidi"/>
      <w:kern w:val="0"/>
      <w:sz w:val="22"/>
      <w:szCs w:val="22"/>
      <w:lang w:eastAsia="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32</Words>
  <Characters>183</Characters>
  <Lines>1</Lines>
  <Paragraphs>1</Paragraphs>
  <TotalTime>103</TotalTime>
  <ScaleCrop>false</ScaleCrop>
  <LinksUpToDate>false</LinksUpToDate>
  <CharactersWithSpaces>214</CharactersWithSpaces>
  <Application>WPS Office_11.8.2.7919_F1E327BC-269C-435d-A152-05C5408002CA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2022-02-08T07:30:00Z</dcterms:created>
  <dc:creator>Iverson</dc:creator>
  <cp:lastModifiedBy>Administrator</cp:lastModifiedBy>
  <cp:lastPrinted>2019-09-19T23:27:00Z</cp:lastPrinted>
  <dcterms:modified xsi:type="dcterms:W3CDTF">2023-04-12T01:50:18Z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2052-11.8.2.7919</vt:lpwstr>
  </property>
</Properties>
</file>