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4AF50">
      <w:pPr>
        <w:rPr>
          <w:rFonts w:ascii="黑体" w:hAnsi="黑体" w:eastAsia="黑体" w:cs="黑体"/>
          <w:bCs/>
          <w:szCs w:val="32"/>
        </w:rPr>
      </w:pPr>
    </w:p>
    <w:p w14:paraId="078B48FB">
      <w:pPr>
        <w:jc w:val="center"/>
        <w:rPr>
          <w:rFonts w:ascii="宋体" w:hAnsi="宋体"/>
          <w:b/>
          <w:sz w:val="36"/>
          <w:szCs w:val="36"/>
        </w:rPr>
      </w:pPr>
      <w:r>
        <w:rPr>
          <w:rFonts w:hint="eastAsia" w:ascii="宋体" w:hAnsi="宋体"/>
          <w:b/>
          <w:sz w:val="36"/>
          <w:szCs w:val="36"/>
        </w:rPr>
        <w:t>淮北市人民医院2022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7B13B0B1">
      <w:pPr>
        <w:jc w:val="center"/>
        <w:rPr>
          <w:rFonts w:ascii="楷体_GB2312" w:eastAsia="楷体_GB2312"/>
          <w:szCs w:val="32"/>
        </w:rPr>
      </w:pPr>
    </w:p>
    <w:p w14:paraId="29C73294">
      <w:pPr>
        <w:adjustRightInd w:val="0"/>
        <w:snapToGrid w:val="0"/>
        <w:spacing w:line="360" w:lineRule="auto"/>
        <w:jc w:val="center"/>
        <w:rPr>
          <w:rFonts w:ascii="宋体" w:hAnsi="宋体"/>
          <w:sz w:val="6"/>
          <w:szCs w:val="32"/>
        </w:rPr>
      </w:pPr>
    </w:p>
    <w:p w14:paraId="3C1CC432">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79FC00B6">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729FF77B">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98E08BA">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4E2F976B">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1B2DC8ED">
            <w:pPr>
              <w:widowControl/>
              <w:jc w:val="center"/>
              <w:rPr>
                <w:rFonts w:ascii="宋体" w:hAnsi="宋体" w:cs="宋体"/>
                <w:b/>
                <w:bCs/>
                <w:kern w:val="0"/>
                <w:szCs w:val="21"/>
              </w:rPr>
            </w:pPr>
            <w:r>
              <w:rPr>
                <w:rFonts w:hint="eastAsia" w:ascii="宋体" w:hAnsi="宋体" w:cs="宋体"/>
                <w:b/>
                <w:bCs/>
                <w:kern w:val="0"/>
                <w:szCs w:val="21"/>
              </w:rPr>
              <w:t>决 算 数</w:t>
            </w:r>
          </w:p>
        </w:tc>
      </w:tr>
      <w:tr w14:paraId="43451E7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69186AE">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2C02B185">
            <w:pPr>
              <w:widowControl/>
              <w:jc w:val="center"/>
              <w:rPr>
                <w:rFonts w:ascii="宋体" w:hAnsi="宋体" w:cs="宋体"/>
                <w:b/>
                <w:bCs/>
                <w:kern w:val="0"/>
                <w:szCs w:val="21"/>
              </w:rPr>
            </w:pPr>
            <w:r>
              <w:rPr>
                <w:rFonts w:hint="eastAsia" w:ascii="宋体" w:hAnsi="宋体" w:cs="宋体"/>
                <w:b/>
                <w:bCs/>
                <w:kern w:val="0"/>
                <w:szCs w:val="21"/>
              </w:rPr>
              <w:t>0</w:t>
            </w:r>
          </w:p>
        </w:tc>
        <w:tc>
          <w:tcPr>
            <w:tcW w:w="2220" w:type="dxa"/>
            <w:tcBorders>
              <w:top w:val="nil"/>
              <w:left w:val="nil"/>
              <w:bottom w:val="single" w:color="auto" w:sz="4" w:space="0"/>
              <w:right w:val="single" w:color="auto" w:sz="4" w:space="0"/>
            </w:tcBorders>
            <w:vAlign w:val="center"/>
          </w:tcPr>
          <w:p w14:paraId="0110E038">
            <w:pPr>
              <w:widowControl/>
              <w:jc w:val="center"/>
              <w:rPr>
                <w:rFonts w:ascii="宋体" w:hAnsi="宋体" w:cs="宋体"/>
                <w:b/>
                <w:bCs/>
                <w:kern w:val="0"/>
                <w:szCs w:val="21"/>
              </w:rPr>
            </w:pPr>
            <w:r>
              <w:rPr>
                <w:rFonts w:hint="eastAsia" w:ascii="宋体" w:hAnsi="宋体" w:cs="宋体"/>
                <w:b/>
                <w:bCs/>
                <w:kern w:val="0"/>
                <w:szCs w:val="21"/>
              </w:rPr>
              <w:t>0</w:t>
            </w:r>
          </w:p>
        </w:tc>
      </w:tr>
      <w:tr w14:paraId="1B08713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B29B0CE">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699EFA24">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943B10C">
            <w:pPr>
              <w:widowControl/>
              <w:jc w:val="center"/>
              <w:rPr>
                <w:rFonts w:ascii="宋体" w:hAnsi="宋体" w:cs="宋体"/>
                <w:kern w:val="0"/>
                <w:szCs w:val="21"/>
              </w:rPr>
            </w:pPr>
            <w:r>
              <w:rPr>
                <w:rFonts w:hint="eastAsia" w:ascii="宋体" w:hAnsi="宋体" w:cs="宋体"/>
                <w:kern w:val="0"/>
                <w:szCs w:val="21"/>
              </w:rPr>
              <w:t>0</w:t>
            </w:r>
          </w:p>
        </w:tc>
      </w:tr>
      <w:tr w14:paraId="7F3E3D1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51C762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18734B0A">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381F0293">
            <w:pPr>
              <w:widowControl/>
              <w:jc w:val="center"/>
              <w:rPr>
                <w:rFonts w:ascii="宋体" w:hAnsi="宋体" w:cs="宋体"/>
                <w:kern w:val="0"/>
                <w:szCs w:val="21"/>
              </w:rPr>
            </w:pPr>
            <w:r>
              <w:rPr>
                <w:rFonts w:hint="eastAsia" w:ascii="宋体" w:hAnsi="宋体" w:cs="宋体"/>
                <w:kern w:val="0"/>
                <w:szCs w:val="21"/>
              </w:rPr>
              <w:t>0</w:t>
            </w:r>
          </w:p>
        </w:tc>
      </w:tr>
      <w:tr w14:paraId="5867930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6B3254A">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96DC6DE">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6BC544F4">
            <w:pPr>
              <w:widowControl/>
              <w:jc w:val="center"/>
              <w:rPr>
                <w:rFonts w:ascii="宋体" w:hAnsi="宋体" w:cs="宋体"/>
                <w:kern w:val="0"/>
                <w:szCs w:val="21"/>
              </w:rPr>
            </w:pPr>
            <w:r>
              <w:rPr>
                <w:rFonts w:hint="eastAsia" w:ascii="宋体" w:hAnsi="宋体" w:cs="宋体"/>
                <w:kern w:val="0"/>
                <w:szCs w:val="21"/>
              </w:rPr>
              <w:t>0</w:t>
            </w:r>
          </w:p>
        </w:tc>
      </w:tr>
      <w:tr w14:paraId="3C05FF5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670F42D">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6E441173">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D656381">
            <w:pPr>
              <w:widowControl/>
              <w:jc w:val="center"/>
              <w:rPr>
                <w:rFonts w:ascii="宋体" w:hAnsi="宋体" w:cs="宋体"/>
                <w:kern w:val="0"/>
                <w:szCs w:val="21"/>
              </w:rPr>
            </w:pPr>
            <w:r>
              <w:rPr>
                <w:rFonts w:hint="eastAsia" w:ascii="宋体" w:hAnsi="宋体" w:cs="宋体"/>
                <w:kern w:val="0"/>
                <w:szCs w:val="21"/>
              </w:rPr>
              <w:t>0</w:t>
            </w:r>
          </w:p>
        </w:tc>
      </w:tr>
      <w:tr w14:paraId="2778E3A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05A7C71">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49995890">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1911A0AC">
            <w:pPr>
              <w:widowControl/>
              <w:jc w:val="center"/>
              <w:rPr>
                <w:rFonts w:ascii="宋体" w:hAnsi="宋体" w:cs="宋体"/>
                <w:kern w:val="0"/>
                <w:szCs w:val="21"/>
              </w:rPr>
            </w:pPr>
            <w:r>
              <w:rPr>
                <w:rFonts w:hint="eastAsia" w:ascii="宋体" w:hAnsi="宋体" w:cs="宋体"/>
                <w:kern w:val="0"/>
                <w:szCs w:val="21"/>
              </w:rPr>
              <w:t>0</w:t>
            </w:r>
          </w:p>
        </w:tc>
      </w:tr>
    </w:tbl>
    <w:p w14:paraId="25365AC4">
      <w:pPr>
        <w:spacing w:line="300" w:lineRule="exact"/>
        <w:rPr>
          <w:rFonts w:ascii="仿宋_GB2312" w:hAnsi="仿宋"/>
          <w:sz w:val="21"/>
          <w:szCs w:val="21"/>
        </w:rPr>
      </w:pPr>
    </w:p>
    <w:p w14:paraId="6DCFD254">
      <w:pPr>
        <w:spacing w:line="300" w:lineRule="exact"/>
        <w:rPr>
          <w:rFonts w:ascii="黑体" w:hAnsi="黑体" w:eastAsia="黑体"/>
          <w:szCs w:val="32"/>
        </w:rPr>
      </w:pPr>
      <w:r>
        <w:rPr>
          <w:rFonts w:hint="eastAsia" w:ascii="仿宋_GB2312" w:hAnsi="仿宋"/>
          <w:sz w:val="21"/>
          <w:szCs w:val="21"/>
        </w:rPr>
        <w:t>注：本表反映部门本年度一般公共预算财政拨款“三公”经费支出预决算情况。其中，预算数为“三公”经费全年预算数，反映按规定程序调整后的预算数</w:t>
      </w:r>
      <w:r>
        <w:rPr>
          <w:rFonts w:hint="eastAsia" w:ascii="仿宋_GB2312" w:hAnsi="仿宋"/>
          <w:sz w:val="21"/>
          <w:szCs w:val="21"/>
          <w:lang w:eastAsia="zh-CN"/>
        </w:rPr>
        <w:t>；</w:t>
      </w:r>
      <w:r>
        <w:rPr>
          <w:rFonts w:hint="eastAsia" w:ascii="仿宋_GB2312" w:hAnsi="仿宋"/>
          <w:sz w:val="21"/>
          <w:szCs w:val="21"/>
        </w:rPr>
        <w:t xml:space="preserve">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6EF7BB5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7C8F58F6">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7609BB39">
      <w:pPr>
        <w:ind w:firstLine="628" w:firstLineChars="200"/>
        <w:rPr>
          <w:rFonts w:hint="eastAsia" w:ascii="仿宋" w:hAnsi="仿宋" w:eastAsia="仿宋" w:cs="仿宋"/>
          <w:szCs w:val="32"/>
        </w:rPr>
      </w:pPr>
      <w:r>
        <w:rPr>
          <w:rFonts w:hint="eastAsia" w:ascii="仿宋_GB2312" w:hAnsi="仿宋"/>
          <w:szCs w:val="32"/>
        </w:rPr>
        <w:t>淮北市人民医院2022年度一般公共预算财政拨款“三公”经费支出预</w:t>
      </w:r>
      <w:r>
        <w:rPr>
          <w:rFonts w:hint="eastAsia" w:ascii="仿宋" w:hAnsi="仿宋" w:eastAsia="仿宋" w:cs="仿宋"/>
          <w:szCs w:val="32"/>
        </w:rPr>
        <w:t>算为0万元，支出决算为0万元，与上年持平。</w:t>
      </w:r>
    </w:p>
    <w:p w14:paraId="38EE9DF7">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5C7BD8B8">
      <w:pPr>
        <w:ind w:firstLine="628" w:firstLineChars="200"/>
        <w:rPr>
          <w:rFonts w:hint="eastAsia" w:ascii="仿宋" w:hAnsi="仿宋" w:eastAsia="仿宋" w:cs="仿宋"/>
          <w:szCs w:val="32"/>
        </w:rPr>
      </w:pPr>
      <w:r>
        <w:rPr>
          <w:rFonts w:hint="eastAsia" w:ascii="仿宋" w:hAnsi="仿宋" w:eastAsia="仿宋" w:cs="仿宋"/>
          <w:szCs w:val="32"/>
        </w:rPr>
        <w:t>淮北市人民医院2022年度一般公共预算财政拨款“三公”经费支出决算中，因公出国（境）费支出决算0万元，占0%</w:t>
      </w:r>
      <w:r>
        <w:rPr>
          <w:rFonts w:hint="eastAsia" w:ascii="仿宋" w:hAnsi="仿宋" w:eastAsia="仿宋" w:cs="仿宋"/>
          <w:szCs w:val="32"/>
          <w:lang w:eastAsia="zh-CN"/>
        </w:rPr>
        <w:t>；</w:t>
      </w:r>
      <w:r>
        <w:rPr>
          <w:rFonts w:hint="eastAsia" w:ascii="仿宋" w:hAnsi="仿宋" w:eastAsia="仿宋" w:cs="仿宋"/>
          <w:szCs w:val="32"/>
        </w:rPr>
        <w:t>公务接待费支出决算0万元，占0%；公务用车购置及运行维护费支出决算0万元，占0%。具体情况如下：</w:t>
      </w:r>
    </w:p>
    <w:p w14:paraId="02C90F4B">
      <w:pPr>
        <w:ind w:firstLine="628"/>
        <w:rPr>
          <w:rFonts w:hint="eastAsia" w:ascii="仿宋" w:hAnsi="仿宋" w:eastAsia="仿宋" w:cs="仿宋"/>
          <w:szCs w:val="32"/>
        </w:rPr>
      </w:pPr>
      <w:r>
        <w:rPr>
          <w:rFonts w:hint="eastAsia" w:ascii="仿宋" w:hAnsi="仿宋" w:eastAsia="仿宋" w:cs="仿宋"/>
          <w:b/>
          <w:bCs/>
          <w:szCs w:val="32"/>
        </w:rPr>
        <w:t>1.因公出国（境）费</w:t>
      </w:r>
      <w:r>
        <w:rPr>
          <w:rFonts w:hint="eastAsia" w:ascii="仿宋" w:hAnsi="仿宋" w:eastAsia="仿宋" w:cs="仿宋"/>
          <w:szCs w:val="32"/>
        </w:rPr>
        <w:t>预算为0万元，支出决算为0万元，预决算保持一致，与上年度持平。2022年淮北市人民医院因公出国（境）团组0次，累计出国（境）0人次。该项经费根据市外办批准的因公临时出国（境）计划，按照规定标准安排。经费使用严格按照《淮北市财政局淮北市外事办公室关于转发</w:t>
      </w:r>
      <w:r>
        <w:rPr>
          <w:rFonts w:hint="eastAsia" w:ascii="仿宋" w:hAnsi="仿宋" w:eastAsia="仿宋" w:cs="仿宋"/>
          <w:szCs w:val="32"/>
          <w:lang w:eastAsia="zh-CN"/>
        </w:rPr>
        <w:t>〈</w:t>
      </w:r>
      <w:r>
        <w:rPr>
          <w:rFonts w:hint="eastAsia" w:ascii="仿宋" w:hAnsi="仿宋" w:eastAsia="仿宋" w:cs="仿宋"/>
          <w:szCs w:val="32"/>
        </w:rPr>
        <w:t>安徽省省直党政机关因公临时出国经费管理办法</w:t>
      </w:r>
      <w:r>
        <w:rPr>
          <w:rFonts w:hint="eastAsia" w:ascii="仿宋" w:hAnsi="仿宋" w:eastAsia="仿宋" w:cs="仿宋"/>
          <w:szCs w:val="32"/>
          <w:lang w:eastAsia="zh-CN"/>
        </w:rPr>
        <w:t>〉</w:t>
      </w:r>
      <w:r>
        <w:rPr>
          <w:rFonts w:hint="eastAsia" w:ascii="仿宋" w:hAnsi="仿宋" w:eastAsia="仿宋" w:cs="仿宋"/>
          <w:szCs w:val="32"/>
        </w:rPr>
        <w:t>的通知》（财行〔2014〕327号）、《淮北市财政局淮北市人力资源和社会保障局关于转发</w:t>
      </w:r>
      <w:r>
        <w:rPr>
          <w:rFonts w:hint="eastAsia" w:ascii="仿宋" w:hAnsi="仿宋" w:eastAsia="仿宋" w:cs="仿宋"/>
          <w:szCs w:val="32"/>
          <w:lang w:eastAsia="zh-CN"/>
        </w:rPr>
        <w:t>〈</w:t>
      </w:r>
      <w:r>
        <w:rPr>
          <w:rFonts w:hint="eastAsia" w:ascii="仿宋" w:hAnsi="仿宋" w:eastAsia="仿宋" w:cs="仿宋"/>
          <w:szCs w:val="32"/>
        </w:rPr>
        <w:t>安徽省省直党政机关因公短期出国培训费用管理办法</w:t>
      </w:r>
      <w:r>
        <w:rPr>
          <w:rFonts w:hint="eastAsia" w:ascii="仿宋" w:hAnsi="仿宋" w:eastAsia="仿宋" w:cs="仿宋"/>
          <w:szCs w:val="32"/>
          <w:lang w:eastAsia="zh-CN"/>
        </w:rPr>
        <w:t>〉</w:t>
      </w:r>
      <w:r>
        <w:rPr>
          <w:rFonts w:hint="eastAsia" w:ascii="仿宋" w:hAnsi="仿宋" w:eastAsia="仿宋" w:cs="仿宋"/>
          <w:szCs w:val="32"/>
        </w:rPr>
        <w:t>的通知》（财行〔2015〕293号）等相关规定执行。</w:t>
      </w:r>
    </w:p>
    <w:p w14:paraId="241123B7">
      <w:pPr>
        <w:ind w:firstLine="628" w:firstLineChars="200"/>
        <w:rPr>
          <w:rFonts w:hint="eastAsia" w:ascii="仿宋" w:hAnsi="仿宋" w:eastAsia="仿宋" w:cs="仿宋"/>
          <w:szCs w:val="32"/>
        </w:rPr>
      </w:pPr>
      <w:r>
        <w:rPr>
          <w:rFonts w:hint="eastAsia" w:ascii="仿宋" w:hAnsi="仿宋" w:eastAsia="仿宋" w:cs="仿宋"/>
          <w:b/>
          <w:bCs/>
          <w:szCs w:val="32"/>
        </w:rPr>
        <w:t>2.公务接待费</w:t>
      </w:r>
      <w:r>
        <w:rPr>
          <w:rFonts w:hint="eastAsia" w:ascii="仿宋" w:hAnsi="仿宋" w:eastAsia="仿宋" w:cs="仿宋"/>
          <w:szCs w:val="32"/>
        </w:rPr>
        <w:t>预算为0万元，支出决算为0万元，预决算保持一致，与上年度持平。2022年淮北市人民医院国内公务接待共0批次（其中外事接待0批次），0人次（其中外事接待0人次）。经费使用贯彻落实中央八项规定精神</w:t>
      </w:r>
      <w:bookmarkStart w:id="0" w:name="_GoBack"/>
      <w:bookmarkEnd w:id="0"/>
      <w:r>
        <w:rPr>
          <w:rFonts w:hint="eastAsia" w:ascii="仿宋" w:hAnsi="仿宋" w:eastAsia="仿宋" w:cs="仿宋"/>
          <w:szCs w:val="32"/>
        </w:rPr>
        <w:t>和市委实</w:t>
      </w:r>
      <w:r>
        <w:rPr>
          <w:rFonts w:hint="eastAsia" w:ascii="仿宋" w:hAnsi="仿宋" w:eastAsia="仿宋" w:cs="仿宋"/>
          <w:kern w:val="0"/>
          <w:szCs w:val="32"/>
        </w:rPr>
        <w:t>施细则</w:t>
      </w:r>
      <w:r>
        <w:rPr>
          <w:rFonts w:hint="eastAsia" w:ascii="仿宋" w:hAnsi="仿宋" w:eastAsia="仿宋" w:cs="仿宋"/>
          <w:szCs w:val="32"/>
        </w:rPr>
        <w:t>，严格执行《关于印发</w:t>
      </w:r>
      <w:r>
        <w:rPr>
          <w:rFonts w:hint="eastAsia" w:ascii="仿宋" w:hAnsi="仿宋" w:eastAsia="仿宋" w:cs="仿宋"/>
          <w:szCs w:val="32"/>
          <w:lang w:eastAsia="zh-CN"/>
        </w:rPr>
        <w:t>〈</w:t>
      </w:r>
      <w:r>
        <w:rPr>
          <w:rFonts w:hint="eastAsia" w:ascii="仿宋" w:hAnsi="仿宋" w:eastAsia="仿宋" w:cs="仿宋"/>
          <w:szCs w:val="32"/>
        </w:rPr>
        <w:t>淮北市市直单位接待经费管理暂行办法</w:t>
      </w:r>
      <w:r>
        <w:rPr>
          <w:rFonts w:hint="eastAsia" w:ascii="仿宋" w:hAnsi="仿宋" w:eastAsia="仿宋" w:cs="仿宋"/>
          <w:szCs w:val="32"/>
          <w:lang w:eastAsia="zh-CN"/>
        </w:rPr>
        <w:t>〉</w:t>
      </w:r>
      <w:r>
        <w:rPr>
          <w:rFonts w:hint="eastAsia" w:ascii="仿宋" w:hAnsi="仿宋" w:eastAsia="仿宋" w:cs="仿宋"/>
          <w:szCs w:val="32"/>
        </w:rPr>
        <w:t>的通知》（财行〔2013〕133号）、《淮北市财政局淮北市机关事务管理中心关于调整市直机关公务接待费用餐标准的通知》（财行〔2021〕85号）等相关规定。</w:t>
      </w:r>
    </w:p>
    <w:p w14:paraId="68EA96A7">
      <w:pPr>
        <w:ind w:firstLine="628" w:firstLineChars="200"/>
        <w:rPr>
          <w:rFonts w:hint="eastAsia" w:ascii="仿宋" w:hAnsi="仿宋" w:eastAsia="仿宋" w:cs="仿宋"/>
        </w:rPr>
      </w:pPr>
      <w:r>
        <w:rPr>
          <w:rFonts w:hint="eastAsia" w:ascii="仿宋" w:hAnsi="仿宋" w:eastAsia="仿宋" w:cs="仿宋"/>
          <w:b/>
          <w:bCs/>
          <w:szCs w:val="32"/>
        </w:rPr>
        <w:t xml:space="preserve">3.公务用车购置及运行维护费 </w:t>
      </w:r>
      <w:r>
        <w:rPr>
          <w:rFonts w:hint="eastAsia" w:ascii="仿宋" w:hAnsi="仿宋" w:eastAsia="仿宋" w:cs="仿宋"/>
          <w:szCs w:val="32"/>
        </w:rPr>
        <w:t>淮北市人民医院2022年没有安排公务用车购置费。公务用车运行维护费预算为0万元，支出决算为0万元，预决算保持一致，与上年度持平。截至2022年12月31日，</w:t>
      </w:r>
      <w:r>
        <w:rPr>
          <w:rFonts w:hint="eastAsia" w:ascii="仿宋" w:hAnsi="仿宋" w:eastAsia="仿宋" w:cs="仿宋"/>
          <w:bCs/>
          <w:szCs w:val="32"/>
        </w:rPr>
        <w:t>淮北市人民医院</w:t>
      </w:r>
      <w:r>
        <w:rPr>
          <w:rFonts w:hint="eastAsia" w:ascii="仿宋" w:hAnsi="仿宋" w:eastAsia="仿宋" w:cs="仿宋"/>
          <w:szCs w:val="32"/>
        </w:rPr>
        <w:t>开支财政拨款的公务用车保有量为0辆。</w:t>
      </w:r>
    </w:p>
    <w:p w14:paraId="684AE96C">
      <w:pPr>
        <w:pStyle w:val="2"/>
        <w:ind w:left="1258" w:hanging="1258"/>
        <w:jc w:val="both"/>
        <w:rPr>
          <w:rFonts w:hint="eastAsia" w:ascii="仿宋" w:hAnsi="仿宋" w:eastAsia="仿宋" w:cs="仿宋"/>
          <w:sz w:val="32"/>
        </w:rPr>
      </w:pPr>
    </w:p>
    <w:p w14:paraId="7136F93C">
      <w:pPr>
        <w:pStyle w:val="2"/>
        <w:ind w:left="1258" w:hanging="1258"/>
        <w:jc w:val="both"/>
        <w:rPr>
          <w:rFonts w:hint="eastAsia" w:ascii="仿宋" w:hAnsi="仿宋" w:eastAsia="仿宋" w:cs="仿宋"/>
          <w:sz w:val="32"/>
        </w:rPr>
      </w:pPr>
    </w:p>
    <w:p w14:paraId="12D76523">
      <w:pPr>
        <w:pStyle w:val="2"/>
        <w:jc w:val="both"/>
        <w:rPr>
          <w:rFonts w:hint="eastAsia" w:ascii="仿宋" w:hAnsi="仿宋" w:eastAsia="仿宋" w:cs="仿宋"/>
        </w:rPr>
      </w:pPr>
    </w:p>
    <w:p w14:paraId="76B26885">
      <w:pPr>
        <w:rPr>
          <w:rFonts w:hint="eastAsia" w:ascii="仿宋" w:hAnsi="仿宋" w:eastAsia="仿宋" w:cs="仿宋"/>
        </w:rPr>
      </w:pP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E09C">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3</w:t>
    </w:r>
    <w:r>
      <w:rPr>
        <w:rFonts w:hint="eastAsia" w:ascii="仿宋_GB2312"/>
        <w:sz w:val="28"/>
        <w:szCs w:val="28"/>
      </w:rPr>
      <w:fldChar w:fldCharType="end"/>
    </w:r>
    <w:r>
      <w:rPr>
        <w:rStyle w:val="7"/>
        <w:rFonts w:hint="eastAsia" w:ascii="仿宋_GB2312"/>
        <w:sz w:val="28"/>
        <w:szCs w:val="28"/>
      </w:rPr>
      <w:t>-</w:t>
    </w:r>
  </w:p>
  <w:p w14:paraId="0191E077">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E182">
    <w:pPr>
      <w:pStyle w:val="3"/>
      <w:framePr w:wrap="around" w:vAnchor="text" w:hAnchor="margin" w:xAlign="right" w:y="1"/>
      <w:rPr>
        <w:rStyle w:val="7"/>
      </w:rPr>
    </w:pPr>
    <w:r>
      <w:fldChar w:fldCharType="begin"/>
    </w:r>
    <w:r>
      <w:rPr>
        <w:rStyle w:val="7"/>
        <w:sz w:val="32"/>
      </w:rPr>
      <w:instrText xml:space="preserve">PAGE  </w:instrText>
    </w:r>
    <w:r>
      <w:fldChar w:fldCharType="separate"/>
    </w:r>
    <w:r>
      <w:rPr>
        <w:rStyle w:val="7"/>
        <w:sz w:val="32"/>
      </w:rPr>
      <w:t>1</w:t>
    </w:r>
    <w:r>
      <w:fldChar w:fldCharType="end"/>
    </w:r>
  </w:p>
  <w:p w14:paraId="6D4C037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DZmY2E5YjVhNTBjNzA1NDcwNGFlOWRiZWNmNDgifQ=="/>
  </w:docVars>
  <w:rsids>
    <w:rsidRoot w:val="49481B57"/>
    <w:rsid w:val="002A47F1"/>
    <w:rsid w:val="004D1F20"/>
    <w:rsid w:val="00625369"/>
    <w:rsid w:val="00A25A96"/>
    <w:rsid w:val="00EF6359"/>
    <w:rsid w:val="063F2BAB"/>
    <w:rsid w:val="3C080414"/>
    <w:rsid w:val="49481B57"/>
    <w:rsid w:val="5D106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jc w:val="center"/>
    </w:pPr>
    <w:rPr>
      <w:rFonts w:ascii="Times New Roman" w:hAnsi="Times New Roman" w:eastAsia="黑体" w:cs="Times New Roman"/>
      <w:kern w:val="2"/>
      <w:sz w:val="36"/>
      <w:lang w:val="en-US" w:eastAsia="zh-CN" w:bidi="ar-SA"/>
    </w:rPr>
  </w:style>
  <w:style w:type="paragraph" w:styleId="3">
    <w:name w:val="footer"/>
    <w:qFormat/>
    <w:uiPriority w:val="0"/>
    <w:pPr>
      <w:widowControl w:val="0"/>
      <w:tabs>
        <w:tab w:val="center" w:pos="4153"/>
        <w:tab w:val="right" w:pos="8306"/>
      </w:tabs>
      <w:snapToGrid w:val="0"/>
    </w:pPr>
    <w:rPr>
      <w:rFonts w:ascii="Times New Roman" w:hAnsi="Times New Roman" w:eastAsia="仿宋_GB2312" w:cs="Times New Roman"/>
      <w:kern w:val="2"/>
      <w:sz w:val="18"/>
      <w:lang w:val="en-US" w:eastAsia="zh-CN" w:bidi="ar-SA"/>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0"/>
  </w:style>
  <w:style w:type="character" w:customStyle="1" w:styleId="8">
    <w:name w:val="页眉 Char"/>
    <w:basedOn w:val="6"/>
    <w:link w:val="4"/>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1013</Words>
  <Characters>1067</Characters>
  <Lines>8</Lines>
  <Paragraphs>2</Paragraphs>
  <TotalTime>82</TotalTime>
  <ScaleCrop>false</ScaleCrop>
  <LinksUpToDate>false</LinksUpToDate>
  <CharactersWithSpaces>1134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2023-09-22T07:29:00Z</dcterms:created>
  <dc:creator>Administrator</dc:creator>
  <cp:lastModifiedBy>核算中心-朱兆琪</cp:lastModifiedBy>
  <dcterms:modified xsi:type="dcterms:W3CDTF">2025-08-15T00:38:28Z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6ECAFA605F2B4EFCAF090B1FDF95C531_13</vt:lpwstr>
  </property>
  <property fmtid="{D5CDD505-2E9C-101B-9397-08002B2CF9AE}" pid="4" name="KSOTemplateDocerSaveRecord">
    <vt:lpwstr>eyJoZGlkIjoiYWJjYzA0NzdjODdiMjEwZjgyZGY3ZTQxOWZmYzhiNDYiLCJ1c2VySWQiOiIyMDE4NDU3MTIifQ==</vt:lpwstr>
  </property>
</Properties>
</file>