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outlineLvl w:val="0"/>
        <w:rPr>
          <w:rFonts w:hint="default" w:ascii="Times New Roman" w:hAnsi="Times New Roman" w:eastAsia="方正小标宋简体" w:cs="Times New Roman"/>
          <w:color w:val="auto"/>
          <w:kern w:val="36"/>
          <w:sz w:val="44"/>
          <w:szCs w:val="44"/>
          <w:highlight w:val="none"/>
        </w:rPr>
      </w:pPr>
    </w:p>
    <w:p>
      <w:pPr>
        <w:widowControl/>
        <w:shd w:val="clear" w:color="auto" w:fill="FFFFFF"/>
        <w:spacing w:line="580" w:lineRule="exact"/>
        <w:jc w:val="center"/>
        <w:outlineLvl w:val="0"/>
        <w:rPr>
          <w:rFonts w:hint="default" w:ascii="Times New Roman" w:hAnsi="Times New Roman" w:eastAsia="方正小标宋简体" w:cs="Times New Roman"/>
          <w:color w:val="auto"/>
          <w:kern w:val="36"/>
          <w:sz w:val="44"/>
          <w:szCs w:val="44"/>
          <w:highlight w:val="none"/>
        </w:rPr>
      </w:pPr>
      <w:r>
        <w:rPr>
          <w:rFonts w:hint="default" w:ascii="Times New Roman" w:hAnsi="Times New Roman" w:eastAsia="方正小标宋简体" w:cs="Times New Roman"/>
          <w:color w:val="auto"/>
          <w:kern w:val="36"/>
          <w:sz w:val="44"/>
          <w:szCs w:val="44"/>
          <w:highlight w:val="none"/>
        </w:rPr>
        <w:t>淮北市卫生健康委员会202</w:t>
      </w:r>
      <w:r>
        <w:rPr>
          <w:rFonts w:hint="eastAsia" w:ascii="Times New Roman" w:hAnsi="Times New Roman" w:eastAsia="方正小标宋简体" w:cs="Times New Roman"/>
          <w:color w:val="auto"/>
          <w:kern w:val="36"/>
          <w:sz w:val="44"/>
          <w:szCs w:val="44"/>
          <w:highlight w:val="none"/>
          <w:lang w:val="en-US" w:eastAsia="zh-CN"/>
        </w:rPr>
        <w:t>3</w:t>
      </w:r>
      <w:r>
        <w:rPr>
          <w:rFonts w:hint="default" w:ascii="Times New Roman" w:hAnsi="Times New Roman" w:eastAsia="方正小标宋简体" w:cs="Times New Roman"/>
          <w:color w:val="auto"/>
          <w:kern w:val="36"/>
          <w:sz w:val="44"/>
          <w:szCs w:val="44"/>
          <w:highlight w:val="none"/>
        </w:rPr>
        <w:t>年政府信息</w:t>
      </w:r>
    </w:p>
    <w:p>
      <w:pPr>
        <w:widowControl/>
        <w:shd w:val="clear" w:color="auto" w:fill="FFFFFF"/>
        <w:spacing w:line="580" w:lineRule="exact"/>
        <w:jc w:val="center"/>
        <w:outlineLvl w:val="0"/>
        <w:rPr>
          <w:rFonts w:hint="default" w:ascii="Times New Roman" w:hAnsi="Times New Roman" w:eastAsia="方正小标宋简体" w:cs="Times New Roman"/>
          <w:color w:val="auto"/>
          <w:kern w:val="36"/>
          <w:sz w:val="44"/>
          <w:szCs w:val="44"/>
          <w:highlight w:val="none"/>
        </w:rPr>
      </w:pPr>
      <w:r>
        <w:rPr>
          <w:rFonts w:hint="default" w:ascii="Times New Roman" w:hAnsi="Times New Roman" w:eastAsia="方正小标宋简体" w:cs="Times New Roman"/>
          <w:color w:val="auto"/>
          <w:kern w:val="36"/>
          <w:sz w:val="44"/>
          <w:szCs w:val="44"/>
          <w:highlight w:val="none"/>
        </w:rPr>
        <w:t>公开工作年度报告</w:t>
      </w:r>
    </w:p>
    <w:p>
      <w:pPr>
        <w:widowControl/>
        <w:shd w:val="clear" w:color="auto" w:fill="FFFFFF"/>
        <w:ind w:firstLine="480"/>
        <w:rPr>
          <w:rFonts w:hint="default" w:ascii="Times New Roman" w:hAnsi="Times New Roman" w:eastAsia="仿宋_GB2312" w:cs="Times New Roman"/>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根据《中华人民共和国政府信息公开条例》（国务院令第711号）</w:t>
      </w:r>
      <w:r>
        <w:rPr>
          <w:rFonts w:hint="eastAsia" w:ascii="Times New Roman" w:hAnsi="Times New Roman" w:eastAsia="方正仿宋_GBK" w:cs="Times New Roman"/>
          <w:color w:val="auto"/>
          <w:sz w:val="32"/>
          <w:szCs w:val="32"/>
          <w:highlight w:val="none"/>
          <w:lang w:val="en-US" w:eastAsia="zh-CN"/>
        </w:rPr>
        <w:t>规定</w:t>
      </w:r>
      <w:r>
        <w:rPr>
          <w:rFonts w:hint="default" w:ascii="Times New Roman" w:hAnsi="Times New Roman" w:eastAsia="方正仿宋_GBK" w:cs="Times New Roman"/>
          <w:color w:val="auto"/>
          <w:sz w:val="32"/>
          <w:szCs w:val="32"/>
          <w:highlight w:val="none"/>
          <w:lang w:val="en-US" w:eastAsia="zh-CN"/>
        </w:rPr>
        <w:t>和《国务院办公厅政府信息与政务公开办公室关于印发〈中华人民共和国政府信息公开工作年度报告格式〉的通知》（国办公开办函〔2021〕30号）要求，</w:t>
      </w:r>
      <w:r>
        <w:rPr>
          <w:rFonts w:hint="eastAsia" w:ascii="Times New Roman" w:hAnsi="Times New Roman" w:eastAsia="方正仿宋_GBK" w:cs="Times New Roman"/>
          <w:color w:val="auto"/>
          <w:sz w:val="32"/>
          <w:szCs w:val="32"/>
          <w:highlight w:val="none"/>
          <w:lang w:val="en-US" w:eastAsia="zh-CN"/>
        </w:rPr>
        <w:t>现发布《淮北市卫生健康委员会2023年政府信息公开工作年度报告》。</w:t>
      </w:r>
      <w:r>
        <w:rPr>
          <w:rFonts w:hint="default" w:ascii="Times New Roman" w:hAnsi="Times New Roman" w:eastAsia="方正仿宋_GBK" w:cs="Times New Roman"/>
          <w:color w:val="auto"/>
          <w:sz w:val="32"/>
          <w:szCs w:val="32"/>
          <w:highlight w:val="none"/>
          <w:lang w:val="en-US" w:eastAsia="zh-CN"/>
        </w:rPr>
        <w:t>全文由政府信息公开总体情况、主动公开政府信息情况、收到和处理政府信息公开申请情况、政府信息公开行政复议和行政诉讼情况、存在主要问题和改进情况、其他需要报告等六部分组成。本报告中所列数据的统计期限自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年1月1日起至202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12月31日止。本报告的电子版可在淮北市卫生健康委员会政府门户网（http://wjw.huaibei.gov.cn/）“政府信息公开－政府信息公开年报”栏目下载。如有疑问，请与淮北市卫生健康委员会办公室联系。（地址：淮北市相山区孟山中路155号，邮编：235000，电话：0561-3119555。）</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bCs/>
          <w:color w:val="auto"/>
          <w:kern w:val="0"/>
          <w:sz w:val="32"/>
          <w:szCs w:val="32"/>
          <w:highlight w:val="none"/>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截至2023年12月31日，</w:t>
      </w:r>
      <w:r>
        <w:rPr>
          <w:rFonts w:hint="eastAsia" w:ascii="Times New Roman" w:hAnsi="Times New Roman" w:eastAsia="方正仿宋_GBK" w:cs="Times New Roman"/>
          <w:color w:val="auto"/>
          <w:sz w:val="32"/>
          <w:szCs w:val="32"/>
          <w:highlight w:val="none"/>
          <w:lang w:val="en-US" w:eastAsia="zh-CN"/>
        </w:rPr>
        <w:t>我单位</w:t>
      </w:r>
      <w:r>
        <w:rPr>
          <w:rFonts w:hint="default" w:ascii="Times New Roman" w:hAnsi="Times New Roman" w:eastAsia="方正仿宋_GBK" w:cs="Times New Roman"/>
          <w:color w:val="auto"/>
          <w:sz w:val="32"/>
          <w:szCs w:val="32"/>
          <w:highlight w:val="none"/>
          <w:lang w:val="en-US" w:eastAsia="zh-CN"/>
        </w:rPr>
        <w:t>累计主动公开政府信息748条，其中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政策法规11条，重大决策预公开6条，决策部署落实情况12条，建议提案办理21条，财政资金58条，行政权力运行103条，</w:t>
      </w:r>
      <w:r>
        <w:rPr>
          <w:rFonts w:hint="eastAsia" w:ascii="Times New Roman" w:hAnsi="Times New Roman" w:eastAsia="方正仿宋_GBK" w:cs="Times New Roman"/>
          <w:color w:val="auto"/>
          <w:sz w:val="32"/>
          <w:szCs w:val="32"/>
          <w:highlight w:val="none"/>
          <w:lang w:val="en-US" w:eastAsia="zh-CN"/>
        </w:rPr>
        <w:t>卫生健康</w:t>
      </w:r>
      <w:r>
        <w:rPr>
          <w:rFonts w:hint="default" w:ascii="Times New Roman" w:hAnsi="Times New Roman" w:eastAsia="方正仿宋_GBK" w:cs="Times New Roman"/>
          <w:color w:val="auto"/>
          <w:sz w:val="32"/>
          <w:szCs w:val="32"/>
          <w:highlight w:val="none"/>
          <w:lang w:val="en-US" w:eastAsia="zh-CN"/>
        </w:rPr>
        <w:t>领域279条</w:t>
      </w:r>
      <w:r>
        <w:rPr>
          <w:rFonts w:hint="eastAsia" w:ascii="Times New Roman" w:hAnsi="Times New Roman" w:eastAsia="方正仿宋_GBK" w:cs="Times New Roman"/>
          <w:color w:val="auto"/>
          <w:sz w:val="32"/>
          <w:szCs w:val="32"/>
          <w:highlight w:val="none"/>
          <w:lang w:val="en-US" w:eastAsia="zh-CN"/>
        </w:rPr>
        <w:t>，新闻发布会召开3场，解读及回应信息54条。根据年度重点工作任务，调整重点领域公开目录，突出公开卫生健康领域信息，通过集成化、智能化方式推送相关群体，做到应知尽知、应享尽享。持续加大实施健康口腔等暖民心行动信息公开和宣传推广力度，提升群众获得感、满意感。围绕保健康、防重症，继续做好新冠疫情防控“乙类乙管”常态化防控阶段信息公开，更加科学、精准、高效发布疫情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（二）依申请公开情况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进一步完善依申请公开制度和工作流程，2023年我单位共接到依申请公开办件4</w:t>
      </w:r>
      <w:r>
        <w:rPr>
          <w:rFonts w:hint="default" w:ascii="Times New Roman" w:hAnsi="Times New Roman" w:eastAsia="方正仿宋_GBK" w:cs="Times New Roman"/>
          <w:color w:val="auto"/>
          <w:sz w:val="32"/>
          <w:szCs w:val="32"/>
          <w:highlight w:val="none"/>
          <w:lang w:val="en-US" w:eastAsia="zh-CN"/>
        </w:rPr>
        <w:t>件，已在规定时间内按要求全部办结。未发生行政复议、行政诉讼情况。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（三）政府信息管理方面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严格落实保密审查制度，</w:t>
      </w:r>
      <w:r>
        <w:rPr>
          <w:rFonts w:ascii="仿宋_GB2312" w:hAnsi="Times New Roman" w:eastAsia="仿宋_GB2312" w:cs="仿宋_GB2312"/>
          <w:i w:val="0"/>
          <w:iCs w:val="0"/>
          <w:caps w:val="0"/>
          <w:color w:val="333333"/>
          <w:spacing w:val="0"/>
          <w:sz w:val="32"/>
          <w:szCs w:val="32"/>
          <w:shd w:val="clear" w:fill="FFFFFF"/>
        </w:rPr>
        <w:t>按照</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分级审核，先审后发</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要求，</w:t>
      </w:r>
      <w:r>
        <w:rPr>
          <w:rFonts w:hint="eastAsia" w:ascii="Times New Roman" w:hAnsi="Times New Roman" w:eastAsia="仿宋_GB2312" w:cs="Times New Roman"/>
          <w:color w:val="auto"/>
          <w:sz w:val="32"/>
          <w:szCs w:val="32"/>
          <w:highlight w:val="none"/>
          <w:lang w:val="en-US" w:eastAsia="zh-CN"/>
        </w:rPr>
        <w:t>确保“上网不涉密、涉密不上网”，全面梳理主动公开内容，开展涉密涉敏和典型错别字排查，并及时规范清理。积极开展规范性文件清理工作，2023年，我单位制定规范性文件1件，废止失效6件 ，现行有效16件。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（四）平台建设情况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加强</w:t>
      </w:r>
      <w:r>
        <w:rPr>
          <w:rFonts w:hint="eastAsia" w:ascii="方正仿宋_GBK" w:hAnsi="方正仿宋_GBK" w:eastAsia="方正仿宋_GBK" w:cs="方正仿宋_GBK"/>
          <w:color w:val="auto"/>
          <w:sz w:val="32"/>
          <w:szCs w:val="32"/>
          <w:highlight w:val="none"/>
        </w:rPr>
        <w:t>政府网站和政府信息公开平台建设</w:t>
      </w:r>
      <w:r>
        <w:rPr>
          <w:rFonts w:hint="eastAsia" w:ascii="方正仿宋_GBK" w:hAnsi="方正仿宋_GBK" w:eastAsia="方正仿宋_GBK" w:cs="方正仿宋_GBK"/>
          <w:color w:val="auto"/>
          <w:sz w:val="32"/>
          <w:szCs w:val="32"/>
          <w:highlight w:val="none"/>
          <w:lang w:eastAsia="zh-CN"/>
        </w:rPr>
        <w:t>，利用健康淮北微博、微信公众号等政务新媒体及时公开政务信息。</w:t>
      </w:r>
      <w:r>
        <w:rPr>
          <w:rFonts w:hint="eastAsia" w:ascii="方正仿宋_GBK" w:hAnsi="方正仿宋_GBK" w:eastAsia="方正仿宋_GBK" w:cs="方正仿宋_GBK"/>
          <w:color w:val="auto"/>
          <w:sz w:val="32"/>
          <w:szCs w:val="32"/>
          <w:highlight w:val="none"/>
          <w:lang w:val="en-US" w:eastAsia="zh-CN"/>
        </w:rPr>
        <w:t>调整卫生健康领域主动公开目录，新增“医疗卫生机构信息公开”“医养结合”“优化生育”等栏目，优化了栏目设置，扩大了公开范围。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（五）监督保障方面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highlight w:val="none"/>
        </w:rPr>
      </w:pPr>
      <w:bookmarkStart w:id="0" w:name="OLE_LINK1"/>
      <w:r>
        <w:rPr>
          <w:rFonts w:hint="eastAsia" w:ascii="方正仿宋_GBK" w:hAnsi="方正仿宋_GBK" w:eastAsia="方正仿宋_GBK" w:cs="方正仿宋_GBK"/>
          <w:color w:val="auto"/>
          <w:sz w:val="32"/>
          <w:szCs w:val="32"/>
          <w:highlight w:val="none"/>
          <w:lang w:val="en-US" w:eastAsia="zh-CN"/>
        </w:rPr>
        <w:t>我单位高度重视信息公开工作，不断完善政府信息公开制度，强化组织领导，加强对各县区基层两化和公共企事业单位信息公开工作的指导和监督检查，积极参与市政府办公室组织的政务公开工作培训，并将政务公开工作纳入年度考核当中。加强社会评议和责任追究，对违反政府信息公开规定人员追究相关责任。</w:t>
      </w:r>
      <w:r>
        <w:rPr>
          <w:rFonts w:hint="default" w:ascii="Times New Roman" w:hAnsi="Times New Roman" w:eastAsia="方正仿宋_GBK" w:cs="Times New Roman"/>
          <w:color w:val="auto"/>
          <w:sz w:val="32"/>
          <w:szCs w:val="32"/>
          <w:highlight w:val="none"/>
          <w:lang w:val="en-US" w:eastAsia="zh-CN"/>
        </w:rPr>
        <w:t>2023</w:t>
      </w:r>
      <w:r>
        <w:rPr>
          <w:rFonts w:hint="eastAsia" w:ascii="方正仿宋_GBK" w:hAnsi="方正仿宋_GBK" w:eastAsia="方正仿宋_GBK" w:cs="方正仿宋_GBK"/>
          <w:color w:val="auto"/>
          <w:sz w:val="32"/>
          <w:szCs w:val="32"/>
          <w:highlight w:val="none"/>
          <w:lang w:val="en-US" w:eastAsia="zh-CN"/>
        </w:rPr>
        <w:t>年，我单位无因不履行政务公开义务而造成的责任追究情况。</w:t>
      </w:r>
    </w:p>
    <w:p>
      <w:pPr>
        <w:widowControl/>
        <w:shd w:val="clear" w:color="auto" w:fill="FFFFFF"/>
        <w:ind w:firstLine="640" w:firstLineChars="200"/>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二、主动公开政府信息情况</w:t>
      </w: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1"/>
                <w:szCs w:val="21"/>
                <w:highlight w:val="none"/>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xml:space="preserve">　　      </w:t>
            </w:r>
            <w:r>
              <w:rPr>
                <w:rFonts w:hint="eastAsia" w:ascii="Times New Roman" w:hAnsi="Times New Roman" w:eastAsia="宋体" w:cs="Times New Roman"/>
                <w:i w:val="0"/>
                <w:iCs w:val="0"/>
                <w:caps w:val="0"/>
                <w:color w:val="auto"/>
                <w:spacing w:val="0"/>
                <w:kern w:val="0"/>
                <w:sz w:val="20"/>
                <w:szCs w:val="20"/>
                <w:highlight w:val="none"/>
                <w:lang w:val="en-US" w:eastAsia="zh-CN" w:bidi="ar"/>
              </w:rPr>
              <w:t xml:space="preserve"> 1</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6</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0" w:firstLineChars="500"/>
              <w:jc w:val="left"/>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1"/>
                <w:szCs w:val="21"/>
                <w:highlight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1"/>
                <w:szCs w:val="21"/>
                <w:highlight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Times New Roman" w:hAnsi="Times New Roman" w:eastAsia="宋体" w:cs="Times New Roman"/>
                <w:i w:val="0"/>
                <w:iCs w:val="0"/>
                <w:caps w:val="0"/>
                <w:color w:val="auto"/>
                <w:spacing w:val="0"/>
                <w:sz w:val="24"/>
                <w:szCs w:val="24"/>
                <w:highlight w:val="none"/>
                <w:lang w:val="en-US" w:eastAsia="zh-CN"/>
              </w:rPr>
              <w:t>68.6754</w:t>
            </w:r>
          </w:p>
        </w:tc>
      </w:tr>
    </w:tbl>
    <w:p>
      <w:pPr>
        <w:widowControl/>
        <w:numPr>
          <w:ilvl w:val="0"/>
          <w:numId w:val="1"/>
        </w:numPr>
        <w:shd w:val="clear" w:color="auto" w:fill="FFFFFF"/>
        <w:ind w:firstLine="640" w:firstLineChars="200"/>
        <w:rPr>
          <w:rFonts w:hint="default" w:ascii="Times New Roman" w:hAnsi="Times New Roman" w:eastAsia="黑体" w:cs="Times New Roman"/>
          <w:bCs/>
          <w:color w:val="auto"/>
          <w:kern w:val="0"/>
          <w:sz w:val="32"/>
          <w:szCs w:val="32"/>
          <w:highlight w:val="none"/>
        </w:rPr>
      </w:pPr>
      <w:bookmarkStart w:id="1" w:name="OLE_LINK2"/>
      <w:r>
        <w:rPr>
          <w:rFonts w:hint="default" w:ascii="Times New Roman" w:hAnsi="Times New Roman" w:eastAsia="黑体" w:cs="Times New Roman"/>
          <w:bCs/>
          <w:color w:val="auto"/>
          <w:kern w:val="0"/>
          <w:sz w:val="32"/>
          <w:szCs w:val="32"/>
          <w:highlight w:val="none"/>
        </w:rPr>
        <w:t>收到和处理政府信息公开申请情况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楷体" w:cs="Times New Roman"/>
                <w:i w:val="0"/>
                <w:iCs w:val="0"/>
                <w:caps w:val="0"/>
                <w:color w:val="auto"/>
                <w:spacing w:val="0"/>
                <w:kern w:val="0"/>
                <w:sz w:val="20"/>
                <w:szCs w:val="20"/>
                <w:highlight w:val="none"/>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688"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688"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企业</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4</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（一）予以公开</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416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（二）部分公开</w:t>
            </w:r>
            <w:r>
              <w:rPr>
                <w:rFonts w:hint="default" w:ascii="Times New Roman" w:hAnsi="Times New Roman" w:eastAsia="楷体" w:cs="Times New Roman"/>
                <w:i w:val="0"/>
                <w:iCs w:val="0"/>
                <w:caps w:val="0"/>
                <w:color w:val="auto"/>
                <w:spacing w:val="0"/>
                <w:kern w:val="0"/>
                <w:sz w:val="20"/>
                <w:szCs w:val="20"/>
                <w:highlight w:val="none"/>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3</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（三）不予公开</w:t>
            </w: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1.属于国家秘密</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0 </w:t>
            </w:r>
          </w:p>
        </w:tc>
        <w:tc>
          <w:tcPr>
            <w:tcW w:w="689"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caps w:val="0"/>
                <w:color w:val="auto"/>
                <w:spacing w:val="0"/>
                <w:kern w:val="0"/>
                <w:sz w:val="20"/>
                <w:szCs w:val="20"/>
                <w:highlight w:val="none"/>
                <w:lang w:val="en-US" w:eastAsia="zh-CN" w:bidi="ar"/>
              </w:rPr>
              <w:t> </w:t>
            </w:r>
            <w:r>
              <w:rPr>
                <w:rFonts w:hint="eastAsia" w:ascii="Times New Roman" w:hAnsi="Times New Roman" w:eastAsia="宋体" w:cs="Times New Roman"/>
                <w:i w:val="0"/>
                <w:caps w:val="0"/>
                <w:color w:val="auto"/>
                <w:spacing w:val="0"/>
                <w:kern w:val="0"/>
                <w:sz w:val="20"/>
                <w:szCs w:val="20"/>
                <w:highlight w:val="none"/>
                <w:lang w:val="en-US" w:eastAsia="zh-CN" w:bidi="ar"/>
              </w:rPr>
              <w:t>1</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lang w:val="en-US"/>
              </w:rPr>
            </w:pPr>
            <w:r>
              <w:rPr>
                <w:rFonts w:hint="eastAsia" w:ascii="Times New Roman" w:hAnsi="Times New Roman" w:eastAsia="宋体" w:cs="Times New Roman"/>
                <w:i w:val="0"/>
                <w:caps w:val="0"/>
                <w:color w:val="auto"/>
                <w:spacing w:val="0"/>
                <w:kern w:val="0"/>
                <w:sz w:val="20"/>
                <w:szCs w:val="20"/>
                <w:highlight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3.危及“三安全一稳定”</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7.属于行政执法案卷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8.属于行政查询事项</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（四）无法提供</w:t>
            </w: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（五）不予处理</w:t>
            </w: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2.重复申请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9"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（六）其他处理</w:t>
            </w:r>
          </w:p>
        </w:tc>
        <w:tc>
          <w:tcPr>
            <w:tcW w:w="3220"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i w:val="0"/>
                <w:caps w:val="0"/>
                <w:color w:val="auto"/>
                <w:spacing w:val="0"/>
                <w:kern w:val="0"/>
                <w:sz w:val="20"/>
                <w:szCs w:val="20"/>
                <w:highlight w:val="none"/>
                <w:lang w:val="en-US" w:eastAsia="zh-CN" w:bidi="ar"/>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3220"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3.其他</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caps w:val="0"/>
                <w:color w:val="auto"/>
                <w:spacing w:val="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auto"/>
                <w:spacing w:val="0"/>
                <w:sz w:val="24"/>
                <w:szCs w:val="24"/>
                <w:highlight w:val="none"/>
              </w:rPr>
            </w:pPr>
          </w:p>
        </w:tc>
        <w:tc>
          <w:tcPr>
            <w:tcW w:w="416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（七）总计</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4</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i w:val="0"/>
                <w:iCs w:val="0"/>
                <w:caps w:val="0"/>
                <w:color w:val="auto"/>
                <w:spacing w:val="0"/>
                <w:kern w:val="0"/>
                <w:sz w:val="20"/>
                <w:szCs w:val="20"/>
                <w:highlight w:val="none"/>
                <w:lang w:val="en-US" w:eastAsia="zh-CN" w:bidi="ar"/>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i w:val="0"/>
                <w:iCs w:val="0"/>
                <w:caps w:val="0"/>
                <w:color w:val="auto"/>
                <w:spacing w:val="0"/>
                <w:kern w:val="0"/>
                <w:sz w:val="20"/>
                <w:szCs w:val="20"/>
                <w:highlight w:val="none"/>
                <w:lang w:val="en-US" w:eastAsia="zh-CN" w:bidi="ar"/>
              </w:rPr>
            </w:pPr>
            <w:r>
              <w:rPr>
                <w:rFonts w:hint="eastAsia" w:ascii="Times New Roman" w:hAnsi="Times New Roman" w:eastAsia="宋体" w:cs="Times New Roman"/>
                <w:i w:val="0"/>
                <w:iCs w:val="0"/>
                <w:caps w:val="0"/>
                <w:color w:val="auto"/>
                <w:spacing w:val="0"/>
                <w:kern w:val="0"/>
                <w:sz w:val="20"/>
                <w:szCs w:val="20"/>
                <w:highlight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lang w:val="en-US"/>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i w:val="0"/>
                <w:iCs w:val="0"/>
                <w:caps w:val="0"/>
                <w:color w:val="auto"/>
                <w:spacing w:val="0"/>
                <w:kern w:val="0"/>
                <w:sz w:val="20"/>
                <w:szCs w:val="20"/>
                <w:highlight w:val="none"/>
                <w:lang w:val="en-US" w:eastAsia="zh-CN" w:bidi="ar"/>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i w:val="0"/>
                <w:iCs w:val="0"/>
                <w:caps w:val="0"/>
                <w:color w:val="auto"/>
                <w:spacing w:val="0"/>
                <w:kern w:val="0"/>
                <w:sz w:val="20"/>
                <w:szCs w:val="20"/>
                <w:highlight w:val="none"/>
                <w:lang w:val="en-US" w:eastAsia="zh-CN" w:bidi="ar"/>
              </w:rPr>
            </w:pPr>
            <w:r>
              <w:rPr>
                <w:rFonts w:hint="default" w:ascii="Times New Roman" w:hAnsi="Times New Roman" w:eastAsia="宋体" w:cs="Times New Roman"/>
                <w:i w:val="0"/>
                <w:iCs w:val="0"/>
                <w:caps w:val="0"/>
                <w:color w:val="auto"/>
                <w:spacing w:val="0"/>
                <w:kern w:val="0"/>
                <w:sz w:val="20"/>
                <w:szCs w:val="20"/>
                <w:highlight w:val="none"/>
                <w:lang w:val="en-US" w:eastAsia="zh-CN" w:bidi="ar"/>
              </w:rPr>
              <w:t>0</w:t>
            </w:r>
          </w:p>
        </w:tc>
      </w:tr>
      <w:bookmarkEnd w:id="1"/>
    </w:tbl>
    <w:p>
      <w:pPr>
        <w:widowControl/>
        <w:numPr>
          <w:ilvl w:val="0"/>
          <w:numId w:val="0"/>
        </w:numPr>
        <w:shd w:val="clear" w:color="auto" w:fill="FFFFFF"/>
        <w:rPr>
          <w:rFonts w:hint="default" w:ascii="Times New Roman" w:hAnsi="Times New Roman" w:eastAsia="黑体" w:cs="Times New Roman"/>
          <w:bCs/>
          <w:color w:val="auto"/>
          <w:kern w:val="0"/>
          <w:sz w:val="32"/>
          <w:szCs w:val="32"/>
          <w:highlight w:val="none"/>
        </w:rPr>
      </w:pPr>
    </w:p>
    <w:p>
      <w:pPr>
        <w:widowControl/>
        <w:shd w:val="clear" w:color="auto" w:fill="FFFFFF"/>
        <w:ind w:firstLine="640" w:firstLineChars="200"/>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四、政府信息公开行政复议、行政诉讼情况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rPr>
            </w:pPr>
            <w:r>
              <w:rPr>
                <w:rFonts w:hint="default" w:ascii="Times New Roman" w:hAnsi="Times New Roman" w:eastAsia="黑体" w:cs="Times New Roman"/>
                <w:color w:val="auto"/>
                <w:kern w:val="0"/>
                <w:sz w:val="20"/>
                <w:szCs w:val="20"/>
                <w:highlight w:val="none"/>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Cs w:val="24"/>
                <w:highlight w:val="none"/>
                <w:lang w:val="en-US"/>
              </w:rPr>
            </w:pPr>
            <w:r>
              <w:rPr>
                <w:rFonts w:hint="default" w:ascii="Times New Roman" w:hAnsi="Times New Roman" w:eastAsia="黑体" w:cs="Times New Roman"/>
                <w:color w:val="auto"/>
                <w:kern w:val="0"/>
                <w:sz w:val="20"/>
                <w:szCs w:val="20"/>
                <w:highlight w:val="none"/>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p>
        </w:tc>
      </w:tr>
      <w:bookmarkEnd w:id="0"/>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年，市卫生健康委在市委、市政府的正确领导下，在市政务公开办的指导下，政务公开工作取得明显成效。</w:t>
      </w:r>
      <w:r>
        <w:rPr>
          <w:rFonts w:hint="eastAsia" w:ascii="Times New Roman" w:hAnsi="Times New Roman" w:eastAsia="方正仿宋_GBK" w:cs="Times New Roman"/>
          <w:color w:val="auto"/>
          <w:sz w:val="32"/>
          <w:szCs w:val="32"/>
          <w:highlight w:val="none"/>
          <w:lang w:val="en-US" w:eastAsia="zh-CN"/>
        </w:rPr>
        <w:t>但也存在着一些问题：主动公开目录调整后，扩大了公开范围，对栏目提出了更高的要求，重点领域信息公开质量需要进一步提升。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改进措施：将</w:t>
      </w:r>
      <w:r>
        <w:rPr>
          <w:rFonts w:hint="default" w:ascii="Times New Roman" w:hAnsi="Times New Roman" w:eastAsia="方正仿宋_GBK" w:cs="Times New Roman"/>
          <w:color w:val="auto"/>
          <w:sz w:val="32"/>
          <w:szCs w:val="32"/>
          <w:highlight w:val="none"/>
          <w:lang w:val="en-US" w:eastAsia="zh-CN"/>
        </w:rPr>
        <w:t>继续加强统筹推进辖区内医疗卫生机构信息公开工作的开展，实时掌握信息公开现状，多角度、全方位、多层次督促指导辖区内医疗卫生机构信息公开工作</w:t>
      </w:r>
      <w:r>
        <w:rPr>
          <w:rFonts w:hint="eastAsia" w:ascii="Times New Roman" w:hAnsi="Times New Roman" w:eastAsia="方正仿宋_GBK" w:cs="Times New Roman"/>
          <w:color w:val="auto"/>
          <w:sz w:val="32"/>
          <w:szCs w:val="32"/>
          <w:highlight w:val="none"/>
          <w:lang w:val="en-US" w:eastAsia="zh-CN"/>
        </w:rPr>
        <w:t>，提升目录调整后重点领域信息公开质量，进一步满足群众需求。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按照《国务院办公厅关于印发〈政府信息公开信息处理费管理办法〉的通知》（国办函</w:t>
      </w:r>
      <w:r>
        <w:rPr>
          <w:rFonts w:hint="default" w:ascii="Times New Roman" w:hAnsi="Times New Roman" w:eastAsia="方正仿宋_GBK" w:cs="Times New Roman"/>
          <w:color w:val="auto"/>
          <w:sz w:val="32"/>
          <w:szCs w:val="32"/>
          <w:highlight w:val="none"/>
          <w:lang w:val="en-US" w:eastAsia="zh-CN"/>
        </w:rPr>
        <w:t>〔2020〕109</w:t>
      </w:r>
      <w:r>
        <w:rPr>
          <w:rFonts w:hint="eastAsia" w:ascii="Times New Roman" w:hAnsi="Times New Roman" w:eastAsia="方正仿宋_GBK" w:cs="Times New Roman"/>
          <w:color w:val="auto"/>
          <w:sz w:val="32"/>
          <w:szCs w:val="32"/>
          <w:highlight w:val="none"/>
          <w:lang w:val="en-US" w:eastAsia="zh-CN"/>
        </w:rPr>
        <w:t>号）规定的按件、按量收费标准，本年度未产生信息公开处理</w:t>
      </w:r>
      <w:bookmarkStart w:id="2" w:name="_GoBack"/>
      <w:bookmarkEnd w:id="2"/>
      <w:r>
        <w:rPr>
          <w:rFonts w:hint="eastAsia" w:ascii="Times New Roman" w:hAnsi="Times New Roman" w:eastAsia="方正仿宋_GBK" w:cs="Times New Roman"/>
          <w:color w:val="auto"/>
          <w:sz w:val="32"/>
          <w:szCs w:val="32"/>
          <w:highlight w:val="none"/>
          <w:lang w:val="en-US" w:eastAsia="zh-CN"/>
        </w:rPr>
        <w:t>费。</w:t>
      </w:r>
    </w:p>
    <w:p>
      <w:pPr>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C9987"/>
    <w:multiLevelType w:val="singleLevel"/>
    <w:tmpl w:val="2E7C99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PU0ELE1Xd/qfyKCBnaFsdJjtGjE=" w:salt="e6triq/m6hD2MfIE2IwgY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597A31"/>
    <w:rsid w:val="004F3BA6"/>
    <w:rsid w:val="00597A31"/>
    <w:rsid w:val="006B4FA0"/>
    <w:rsid w:val="00B06BCF"/>
    <w:rsid w:val="00BA294D"/>
    <w:rsid w:val="00BC358A"/>
    <w:rsid w:val="00BF1405"/>
    <w:rsid w:val="016203DA"/>
    <w:rsid w:val="02454A25"/>
    <w:rsid w:val="037A5EF2"/>
    <w:rsid w:val="04410304"/>
    <w:rsid w:val="04571257"/>
    <w:rsid w:val="054249F1"/>
    <w:rsid w:val="073311B5"/>
    <w:rsid w:val="07CB14B2"/>
    <w:rsid w:val="09006125"/>
    <w:rsid w:val="099C6FB6"/>
    <w:rsid w:val="0B0967F6"/>
    <w:rsid w:val="0B476FE7"/>
    <w:rsid w:val="0E4A0E2F"/>
    <w:rsid w:val="11DE204F"/>
    <w:rsid w:val="13D0628B"/>
    <w:rsid w:val="14D94A45"/>
    <w:rsid w:val="162B5EE3"/>
    <w:rsid w:val="17430E8F"/>
    <w:rsid w:val="17FB480E"/>
    <w:rsid w:val="19567FEB"/>
    <w:rsid w:val="19C66B25"/>
    <w:rsid w:val="1BF3073A"/>
    <w:rsid w:val="1CD35DB8"/>
    <w:rsid w:val="1EE414FA"/>
    <w:rsid w:val="1F6E0B35"/>
    <w:rsid w:val="1F9E76FC"/>
    <w:rsid w:val="20AB4BE6"/>
    <w:rsid w:val="218C2967"/>
    <w:rsid w:val="228914A8"/>
    <w:rsid w:val="232A2F3F"/>
    <w:rsid w:val="24BA3340"/>
    <w:rsid w:val="28B938CA"/>
    <w:rsid w:val="292372D3"/>
    <w:rsid w:val="2A5807EA"/>
    <w:rsid w:val="2BF15FBA"/>
    <w:rsid w:val="2C2229A6"/>
    <w:rsid w:val="2DEC3476"/>
    <w:rsid w:val="306378A0"/>
    <w:rsid w:val="31383A5A"/>
    <w:rsid w:val="343F21AC"/>
    <w:rsid w:val="398023CC"/>
    <w:rsid w:val="3BF91A40"/>
    <w:rsid w:val="3C391C75"/>
    <w:rsid w:val="3C977E0F"/>
    <w:rsid w:val="3DD27B4C"/>
    <w:rsid w:val="3F7C6CC4"/>
    <w:rsid w:val="437A2663"/>
    <w:rsid w:val="45A72888"/>
    <w:rsid w:val="48287B55"/>
    <w:rsid w:val="490422F0"/>
    <w:rsid w:val="49BD4109"/>
    <w:rsid w:val="4C9003DE"/>
    <w:rsid w:val="4F633BCD"/>
    <w:rsid w:val="4F684407"/>
    <w:rsid w:val="4F8C331B"/>
    <w:rsid w:val="500B3BEC"/>
    <w:rsid w:val="50DF42C4"/>
    <w:rsid w:val="525652B4"/>
    <w:rsid w:val="55141BE4"/>
    <w:rsid w:val="58017394"/>
    <w:rsid w:val="58392382"/>
    <w:rsid w:val="59E212B4"/>
    <w:rsid w:val="5A892BB6"/>
    <w:rsid w:val="5C3517DE"/>
    <w:rsid w:val="5C8263C2"/>
    <w:rsid w:val="5E272F1E"/>
    <w:rsid w:val="5EF00382"/>
    <w:rsid w:val="5F756097"/>
    <w:rsid w:val="5F954540"/>
    <w:rsid w:val="611D1F64"/>
    <w:rsid w:val="638C7E6E"/>
    <w:rsid w:val="63CA47F2"/>
    <w:rsid w:val="67115E4F"/>
    <w:rsid w:val="676F401B"/>
    <w:rsid w:val="69E84965"/>
    <w:rsid w:val="6DD33195"/>
    <w:rsid w:val="6E000113"/>
    <w:rsid w:val="71460F45"/>
    <w:rsid w:val="726B4531"/>
    <w:rsid w:val="73626542"/>
    <w:rsid w:val="74BD7C46"/>
    <w:rsid w:val="77D431AA"/>
    <w:rsid w:val="799E5062"/>
    <w:rsid w:val="7B75604F"/>
    <w:rsid w:val="7BE27AF0"/>
    <w:rsid w:val="7FB9616D"/>
    <w:rsid w:val="7FE6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2341</Words>
  <Characters>2467</Characters>
  <Lines>32</Lines>
  <Paragraphs>9</Paragraphs>
  <TotalTime>14</TotalTime>
  <ScaleCrop>false</ScaleCrop>
  <LinksUpToDate>false</LinksUpToDate>
  <CharactersWithSpaces>2617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2021-01-26T10:15:00Z</dcterms:created>
  <dc:creator>gyb1</dc:creator>
  <cp:lastModifiedBy>Administrator</cp:lastModifiedBy>
  <cp:lastPrinted>2023-01-11T07:06:00Z</cp:lastPrinted>
  <dcterms:modified xsi:type="dcterms:W3CDTF">2024-01-24T09:29:34Z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4CC5246F758F45D3A231B7CE40A64630_13</vt:lpwstr>
  </property>
</Properties>
</file>